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207952">
      <w:pPr>
        <w:spacing w:after="160" w:line="278" w:lineRule="auto"/>
        <w:jc w:val="left"/>
        <w:rPr>
          <w:rFonts w:hint="eastAsia" w:ascii="黑体" w:hAnsi="黑体" w:eastAsia="黑体" w:cs="Courier New"/>
          <w:b/>
          <w:bCs/>
          <w:color w:val="000000" w:themeColor="text1"/>
          <w:sz w:val="32"/>
          <w:szCs w:val="32"/>
          <w:shd w:val="clear" w:color="auto" w:fill="FFFFFF"/>
          <w14:textFill>
            <w14:solidFill>
              <w14:schemeClr w14:val="tx1"/>
            </w14:solidFill>
          </w14:textFill>
        </w:rPr>
      </w:pPr>
      <w:r>
        <w:rPr>
          <w:rFonts w:hint="eastAsia" w:ascii="黑体" w:hAnsi="黑体" w:eastAsia="黑体" w:cs="Courier New"/>
          <w:b/>
          <w:bCs/>
          <w:color w:val="000000" w:themeColor="text1"/>
          <w:sz w:val="32"/>
          <w:szCs w:val="32"/>
          <w:shd w:val="clear" w:color="auto" w:fill="FFFFFF"/>
          <w14:textFill>
            <w14:solidFill>
              <w14:schemeClr w14:val="tx1"/>
            </w14:solidFill>
          </w14:textFill>
        </w:rPr>
        <w:t>附件2：《数字媒体工程与人文学院推荐优秀应届本科毕业生免试攻读硕士学位研究生综合素质评价成绩认定标准》</w:t>
      </w:r>
    </w:p>
    <w:p w14:paraId="77DAFB41">
      <w:pPr>
        <w:ind w:firstLine="560" w:firstLineChars="200"/>
        <w:rPr>
          <w:rFonts w:hint="eastAsia" w:ascii="仿宋" w:hAnsi="仿宋" w:eastAsia="仿宋"/>
          <w:sz w:val="28"/>
          <w:szCs w:val="28"/>
        </w:rPr>
      </w:pPr>
      <w:r>
        <w:rPr>
          <w:rFonts w:hint="eastAsia" w:ascii="仿宋" w:hAnsi="仿宋" w:eastAsia="仿宋"/>
          <w:sz w:val="28"/>
          <w:szCs w:val="28"/>
        </w:rPr>
        <w:t>综合素质评价用于评价学生全面发展方面的表现，包括荣誉表彰、参军入伍兵役、参加志愿服务或公益活动、到国际组织实习交流、创新成果、参加全国性体育或艺术比赛获奖等，不得与学术专长成绩认定重复，总分为10分。同一个项目类别的计分累计不能超过该项目类别的最高分值。</w:t>
      </w:r>
    </w:p>
    <w:p w14:paraId="26E5DCDC">
      <w:pPr>
        <w:ind w:firstLine="560" w:firstLineChars="200"/>
        <w:rPr>
          <w:rFonts w:hint="eastAsia" w:ascii="仿宋" w:hAnsi="仿宋" w:eastAsia="仿宋"/>
          <w:sz w:val="28"/>
          <w:szCs w:val="28"/>
        </w:rPr>
      </w:pPr>
      <w:r>
        <w:rPr>
          <w:rFonts w:hint="eastAsia" w:ascii="仿宋" w:hAnsi="仿宋" w:eastAsia="仿宋"/>
          <w:sz w:val="28"/>
          <w:szCs w:val="28"/>
        </w:rPr>
        <w:t>各项成果和材料以正式出版发表、获奖证书或官方文件为依据，截止时间为2025年7月31日。</w:t>
      </w:r>
    </w:p>
    <w:p w14:paraId="5B569B4B">
      <w:pPr>
        <w:jc w:val="center"/>
        <w:rPr>
          <w:rFonts w:hint="eastAsia" w:ascii="仿宋" w:hAnsi="仿宋" w:eastAsia="仿宋"/>
          <w:b/>
          <w:bCs/>
          <w:sz w:val="28"/>
          <w:szCs w:val="28"/>
        </w:rPr>
      </w:pPr>
      <w:r>
        <w:rPr>
          <w:rFonts w:hint="eastAsia" w:ascii="仿宋" w:hAnsi="仿宋" w:eastAsia="仿宋"/>
          <w:b/>
          <w:bCs/>
          <w:sz w:val="28"/>
          <w:szCs w:val="28"/>
        </w:rPr>
        <w:t>表1 综合素质评价项目类别和最高分值标准</w:t>
      </w:r>
    </w:p>
    <w:tbl>
      <w:tblPr>
        <w:tblStyle w:val="15"/>
        <w:tblW w:w="72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38"/>
        <w:gridCol w:w="3676"/>
        <w:gridCol w:w="2211"/>
      </w:tblGrid>
      <w:tr w14:paraId="115BB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338" w:type="dxa"/>
            <w:noWrap/>
            <w:vAlign w:val="center"/>
          </w:tcPr>
          <w:p w14:paraId="24906F01">
            <w:pPr>
              <w:jc w:val="center"/>
              <w:rPr>
                <w:rFonts w:hint="eastAsia" w:ascii="仿宋" w:hAnsi="仿宋" w:eastAsia="仿宋"/>
                <w:b/>
                <w:bCs/>
                <w:sz w:val="28"/>
                <w:szCs w:val="28"/>
              </w:rPr>
            </w:pPr>
            <w:r>
              <w:rPr>
                <w:rFonts w:hint="eastAsia" w:ascii="仿宋" w:hAnsi="仿宋" w:eastAsia="仿宋"/>
                <w:b/>
                <w:bCs/>
                <w:sz w:val="28"/>
                <w:szCs w:val="28"/>
              </w:rPr>
              <w:t>序号</w:t>
            </w:r>
          </w:p>
        </w:tc>
        <w:tc>
          <w:tcPr>
            <w:tcW w:w="3676" w:type="dxa"/>
            <w:noWrap/>
            <w:vAlign w:val="center"/>
          </w:tcPr>
          <w:p w14:paraId="53FF3C46">
            <w:pPr>
              <w:jc w:val="center"/>
              <w:rPr>
                <w:rFonts w:hint="eastAsia" w:ascii="仿宋" w:hAnsi="仿宋" w:eastAsia="仿宋"/>
                <w:b/>
                <w:bCs/>
                <w:sz w:val="28"/>
                <w:szCs w:val="28"/>
              </w:rPr>
            </w:pPr>
            <w:r>
              <w:rPr>
                <w:rFonts w:hint="eastAsia" w:ascii="仿宋" w:hAnsi="仿宋" w:eastAsia="仿宋"/>
                <w:b/>
                <w:bCs/>
                <w:sz w:val="28"/>
                <w:szCs w:val="28"/>
              </w:rPr>
              <w:t>项目类别</w:t>
            </w:r>
          </w:p>
        </w:tc>
        <w:tc>
          <w:tcPr>
            <w:tcW w:w="2211" w:type="dxa"/>
            <w:noWrap/>
            <w:vAlign w:val="center"/>
          </w:tcPr>
          <w:p w14:paraId="01B82B24">
            <w:pPr>
              <w:jc w:val="center"/>
              <w:rPr>
                <w:rFonts w:hint="eastAsia" w:ascii="仿宋" w:hAnsi="仿宋" w:eastAsia="仿宋"/>
                <w:b/>
                <w:bCs/>
                <w:sz w:val="28"/>
                <w:szCs w:val="28"/>
              </w:rPr>
            </w:pPr>
            <w:r>
              <w:rPr>
                <w:rFonts w:hint="eastAsia" w:ascii="仿宋" w:hAnsi="仿宋" w:eastAsia="仿宋"/>
                <w:b/>
                <w:bCs/>
                <w:sz w:val="28"/>
                <w:szCs w:val="28"/>
              </w:rPr>
              <w:t>最高分值</w:t>
            </w:r>
          </w:p>
        </w:tc>
      </w:tr>
      <w:tr w14:paraId="1D03B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338" w:type="dxa"/>
            <w:noWrap/>
            <w:vAlign w:val="center"/>
          </w:tcPr>
          <w:p w14:paraId="05CE9D93">
            <w:pPr>
              <w:jc w:val="center"/>
              <w:rPr>
                <w:rFonts w:hint="eastAsia" w:ascii="仿宋" w:hAnsi="仿宋" w:eastAsia="仿宋"/>
                <w:sz w:val="28"/>
                <w:szCs w:val="28"/>
              </w:rPr>
            </w:pPr>
            <w:r>
              <w:rPr>
                <w:rFonts w:hint="eastAsia" w:ascii="仿宋" w:hAnsi="仿宋" w:eastAsia="仿宋"/>
                <w:sz w:val="28"/>
                <w:szCs w:val="28"/>
              </w:rPr>
              <w:t>1</w:t>
            </w:r>
          </w:p>
        </w:tc>
        <w:tc>
          <w:tcPr>
            <w:tcW w:w="3676" w:type="dxa"/>
            <w:noWrap/>
            <w:vAlign w:val="center"/>
          </w:tcPr>
          <w:p w14:paraId="627FD03D">
            <w:pPr>
              <w:jc w:val="center"/>
              <w:rPr>
                <w:rFonts w:hint="eastAsia" w:ascii="仿宋" w:hAnsi="仿宋" w:eastAsia="仿宋"/>
                <w:sz w:val="28"/>
                <w:szCs w:val="28"/>
              </w:rPr>
            </w:pPr>
            <w:r>
              <w:rPr>
                <w:rFonts w:hint="eastAsia" w:ascii="仿宋" w:hAnsi="仿宋" w:eastAsia="仿宋"/>
                <w:sz w:val="28"/>
                <w:szCs w:val="28"/>
              </w:rPr>
              <w:t>荣誉表彰</w:t>
            </w:r>
          </w:p>
        </w:tc>
        <w:tc>
          <w:tcPr>
            <w:tcW w:w="2211" w:type="dxa"/>
            <w:noWrap/>
          </w:tcPr>
          <w:p w14:paraId="5C64AB12">
            <w:pPr>
              <w:jc w:val="center"/>
              <w:rPr>
                <w:rFonts w:hint="eastAsia" w:ascii="仿宋" w:hAnsi="仿宋" w:eastAsia="仿宋"/>
                <w:sz w:val="28"/>
                <w:szCs w:val="28"/>
              </w:rPr>
            </w:pPr>
            <w:r>
              <w:rPr>
                <w:rFonts w:hint="eastAsia" w:ascii="仿宋" w:hAnsi="仿宋" w:eastAsia="仿宋"/>
                <w:sz w:val="28"/>
                <w:szCs w:val="28"/>
              </w:rPr>
              <w:t>2</w:t>
            </w:r>
          </w:p>
        </w:tc>
      </w:tr>
      <w:tr w14:paraId="00447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338" w:type="dxa"/>
            <w:noWrap/>
            <w:vAlign w:val="center"/>
          </w:tcPr>
          <w:p w14:paraId="00E5178B">
            <w:pPr>
              <w:jc w:val="center"/>
              <w:rPr>
                <w:rFonts w:hint="eastAsia" w:ascii="仿宋" w:hAnsi="仿宋" w:eastAsia="仿宋"/>
                <w:sz w:val="28"/>
                <w:szCs w:val="28"/>
              </w:rPr>
            </w:pPr>
            <w:r>
              <w:rPr>
                <w:rFonts w:hint="eastAsia" w:ascii="仿宋" w:hAnsi="仿宋" w:eastAsia="仿宋"/>
                <w:sz w:val="28"/>
                <w:szCs w:val="28"/>
              </w:rPr>
              <w:t>2</w:t>
            </w:r>
          </w:p>
        </w:tc>
        <w:tc>
          <w:tcPr>
            <w:tcW w:w="3676" w:type="dxa"/>
            <w:noWrap/>
            <w:vAlign w:val="center"/>
          </w:tcPr>
          <w:p w14:paraId="6FC4E777">
            <w:pPr>
              <w:jc w:val="center"/>
              <w:rPr>
                <w:rFonts w:hint="eastAsia" w:ascii="仿宋" w:hAnsi="仿宋" w:eastAsia="仿宋"/>
                <w:sz w:val="28"/>
                <w:szCs w:val="28"/>
              </w:rPr>
            </w:pPr>
            <w:r>
              <w:rPr>
                <w:rFonts w:hint="eastAsia" w:ascii="仿宋" w:hAnsi="仿宋" w:eastAsia="仿宋"/>
                <w:sz w:val="28"/>
                <w:szCs w:val="28"/>
              </w:rPr>
              <w:t>参军入伍服兵役</w:t>
            </w:r>
          </w:p>
        </w:tc>
        <w:tc>
          <w:tcPr>
            <w:tcW w:w="2211" w:type="dxa"/>
            <w:noWrap/>
          </w:tcPr>
          <w:p w14:paraId="6FF0B45E">
            <w:pPr>
              <w:jc w:val="center"/>
              <w:rPr>
                <w:rFonts w:hint="eastAsia" w:ascii="仿宋" w:hAnsi="仿宋" w:eastAsia="仿宋"/>
                <w:sz w:val="28"/>
                <w:szCs w:val="28"/>
              </w:rPr>
            </w:pPr>
            <w:r>
              <w:rPr>
                <w:rFonts w:hint="eastAsia" w:ascii="仿宋" w:hAnsi="仿宋" w:eastAsia="仿宋"/>
                <w:sz w:val="28"/>
                <w:szCs w:val="28"/>
              </w:rPr>
              <w:t>2</w:t>
            </w:r>
          </w:p>
        </w:tc>
      </w:tr>
      <w:tr w14:paraId="7DB8D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338" w:type="dxa"/>
            <w:noWrap/>
            <w:vAlign w:val="center"/>
          </w:tcPr>
          <w:p w14:paraId="32568874">
            <w:pPr>
              <w:jc w:val="center"/>
              <w:rPr>
                <w:rFonts w:hint="eastAsia" w:ascii="仿宋" w:hAnsi="仿宋" w:eastAsia="仿宋"/>
                <w:sz w:val="28"/>
                <w:szCs w:val="28"/>
              </w:rPr>
            </w:pPr>
            <w:r>
              <w:rPr>
                <w:rFonts w:hint="eastAsia" w:ascii="仿宋" w:hAnsi="仿宋" w:eastAsia="仿宋"/>
                <w:sz w:val="28"/>
                <w:szCs w:val="28"/>
              </w:rPr>
              <w:t>3</w:t>
            </w:r>
          </w:p>
        </w:tc>
        <w:tc>
          <w:tcPr>
            <w:tcW w:w="3676" w:type="dxa"/>
            <w:noWrap/>
            <w:vAlign w:val="center"/>
          </w:tcPr>
          <w:p w14:paraId="3CBD9046">
            <w:pPr>
              <w:jc w:val="center"/>
              <w:rPr>
                <w:rFonts w:hint="eastAsia" w:ascii="仿宋" w:hAnsi="仿宋" w:eastAsia="仿宋"/>
                <w:sz w:val="28"/>
                <w:szCs w:val="28"/>
              </w:rPr>
            </w:pPr>
            <w:r>
              <w:rPr>
                <w:rFonts w:hint="eastAsia" w:ascii="仿宋" w:hAnsi="仿宋" w:eastAsia="仿宋"/>
                <w:sz w:val="28"/>
                <w:szCs w:val="28"/>
              </w:rPr>
              <w:t>志愿服务或公益活动</w:t>
            </w:r>
          </w:p>
        </w:tc>
        <w:tc>
          <w:tcPr>
            <w:tcW w:w="2211" w:type="dxa"/>
            <w:noWrap/>
          </w:tcPr>
          <w:p w14:paraId="4F54A7DE">
            <w:pPr>
              <w:jc w:val="center"/>
              <w:rPr>
                <w:rFonts w:hint="eastAsia" w:ascii="仿宋" w:hAnsi="仿宋" w:eastAsia="仿宋"/>
                <w:sz w:val="28"/>
                <w:szCs w:val="28"/>
              </w:rPr>
            </w:pPr>
            <w:r>
              <w:rPr>
                <w:rFonts w:hint="eastAsia" w:ascii="仿宋" w:hAnsi="仿宋" w:eastAsia="仿宋"/>
                <w:sz w:val="28"/>
                <w:szCs w:val="28"/>
              </w:rPr>
              <w:t>1</w:t>
            </w:r>
          </w:p>
        </w:tc>
      </w:tr>
      <w:tr w14:paraId="60EFF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338" w:type="dxa"/>
            <w:noWrap/>
            <w:vAlign w:val="center"/>
          </w:tcPr>
          <w:p w14:paraId="3678222D">
            <w:pPr>
              <w:jc w:val="center"/>
              <w:rPr>
                <w:rFonts w:hint="eastAsia" w:ascii="仿宋" w:hAnsi="仿宋" w:eastAsia="仿宋"/>
                <w:sz w:val="28"/>
                <w:szCs w:val="28"/>
              </w:rPr>
            </w:pPr>
            <w:r>
              <w:rPr>
                <w:rFonts w:hint="eastAsia" w:ascii="仿宋" w:hAnsi="仿宋" w:eastAsia="仿宋"/>
                <w:sz w:val="28"/>
                <w:szCs w:val="28"/>
              </w:rPr>
              <w:t>4</w:t>
            </w:r>
          </w:p>
        </w:tc>
        <w:tc>
          <w:tcPr>
            <w:tcW w:w="3676" w:type="dxa"/>
            <w:noWrap/>
            <w:vAlign w:val="center"/>
          </w:tcPr>
          <w:p w14:paraId="39C3E9A5">
            <w:pPr>
              <w:jc w:val="center"/>
              <w:rPr>
                <w:rFonts w:hint="eastAsia" w:ascii="仿宋" w:hAnsi="仿宋" w:eastAsia="仿宋"/>
                <w:sz w:val="28"/>
                <w:szCs w:val="28"/>
              </w:rPr>
            </w:pPr>
            <w:r>
              <w:rPr>
                <w:rFonts w:hint="eastAsia" w:ascii="仿宋" w:hAnsi="仿宋" w:eastAsia="仿宋"/>
                <w:sz w:val="28"/>
                <w:szCs w:val="28"/>
              </w:rPr>
              <w:t>国际组织实习和交流</w:t>
            </w:r>
          </w:p>
        </w:tc>
        <w:tc>
          <w:tcPr>
            <w:tcW w:w="2211" w:type="dxa"/>
            <w:noWrap/>
          </w:tcPr>
          <w:p w14:paraId="2BE73BDB">
            <w:pPr>
              <w:jc w:val="center"/>
              <w:rPr>
                <w:rFonts w:hint="eastAsia" w:ascii="仿宋" w:hAnsi="仿宋" w:eastAsia="仿宋"/>
                <w:sz w:val="28"/>
                <w:szCs w:val="28"/>
              </w:rPr>
            </w:pPr>
            <w:r>
              <w:rPr>
                <w:rFonts w:hint="eastAsia" w:ascii="仿宋" w:hAnsi="仿宋" w:eastAsia="仿宋"/>
                <w:sz w:val="28"/>
                <w:szCs w:val="28"/>
              </w:rPr>
              <w:t>1</w:t>
            </w:r>
          </w:p>
        </w:tc>
      </w:tr>
      <w:tr w14:paraId="4871F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338" w:type="dxa"/>
            <w:noWrap/>
            <w:vAlign w:val="center"/>
          </w:tcPr>
          <w:p w14:paraId="71CABF6B">
            <w:pPr>
              <w:jc w:val="center"/>
              <w:rPr>
                <w:rFonts w:hint="eastAsia" w:ascii="仿宋" w:hAnsi="仿宋" w:eastAsia="仿宋"/>
                <w:sz w:val="28"/>
                <w:szCs w:val="28"/>
              </w:rPr>
            </w:pPr>
            <w:r>
              <w:rPr>
                <w:rFonts w:hint="eastAsia" w:ascii="仿宋" w:hAnsi="仿宋" w:eastAsia="仿宋"/>
                <w:sz w:val="28"/>
                <w:szCs w:val="28"/>
              </w:rPr>
              <w:t>5</w:t>
            </w:r>
          </w:p>
        </w:tc>
        <w:tc>
          <w:tcPr>
            <w:tcW w:w="3676" w:type="dxa"/>
            <w:noWrap/>
            <w:vAlign w:val="center"/>
          </w:tcPr>
          <w:p w14:paraId="0A1E6FD3">
            <w:pPr>
              <w:jc w:val="center"/>
              <w:rPr>
                <w:rFonts w:hint="eastAsia" w:ascii="仿宋" w:hAnsi="仿宋" w:eastAsia="仿宋"/>
                <w:sz w:val="28"/>
                <w:szCs w:val="28"/>
              </w:rPr>
            </w:pPr>
            <w:r>
              <w:rPr>
                <w:rFonts w:hint="eastAsia" w:ascii="仿宋" w:hAnsi="仿宋" w:eastAsia="仿宋"/>
                <w:sz w:val="28"/>
                <w:szCs w:val="28"/>
              </w:rPr>
              <w:t>创新成果</w:t>
            </w:r>
          </w:p>
        </w:tc>
        <w:tc>
          <w:tcPr>
            <w:tcW w:w="2211" w:type="dxa"/>
            <w:noWrap/>
          </w:tcPr>
          <w:p w14:paraId="4CB4A02F">
            <w:pPr>
              <w:jc w:val="center"/>
              <w:rPr>
                <w:rFonts w:hint="eastAsia" w:ascii="仿宋" w:hAnsi="仿宋" w:eastAsia="仿宋"/>
                <w:sz w:val="28"/>
                <w:szCs w:val="28"/>
              </w:rPr>
            </w:pPr>
            <w:r>
              <w:rPr>
                <w:rFonts w:hint="eastAsia" w:ascii="仿宋" w:hAnsi="仿宋" w:eastAsia="仿宋"/>
                <w:sz w:val="28"/>
                <w:szCs w:val="28"/>
              </w:rPr>
              <w:t>3</w:t>
            </w:r>
          </w:p>
        </w:tc>
      </w:tr>
      <w:tr w14:paraId="7CEDD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338" w:type="dxa"/>
            <w:noWrap/>
            <w:vAlign w:val="center"/>
          </w:tcPr>
          <w:p w14:paraId="580B4400">
            <w:pPr>
              <w:jc w:val="center"/>
              <w:rPr>
                <w:rFonts w:hint="eastAsia" w:ascii="仿宋" w:hAnsi="仿宋" w:eastAsia="仿宋"/>
                <w:sz w:val="28"/>
                <w:szCs w:val="28"/>
              </w:rPr>
            </w:pPr>
            <w:r>
              <w:rPr>
                <w:rFonts w:hint="eastAsia" w:ascii="仿宋" w:hAnsi="仿宋" w:eastAsia="仿宋"/>
                <w:sz w:val="28"/>
                <w:szCs w:val="28"/>
              </w:rPr>
              <w:t>6</w:t>
            </w:r>
          </w:p>
        </w:tc>
        <w:tc>
          <w:tcPr>
            <w:tcW w:w="3676" w:type="dxa"/>
            <w:noWrap/>
            <w:vAlign w:val="center"/>
          </w:tcPr>
          <w:p w14:paraId="433C8FDD">
            <w:pPr>
              <w:jc w:val="center"/>
              <w:rPr>
                <w:rFonts w:hint="eastAsia" w:ascii="仿宋" w:hAnsi="仿宋" w:eastAsia="仿宋"/>
                <w:sz w:val="28"/>
                <w:szCs w:val="28"/>
              </w:rPr>
            </w:pPr>
            <w:r>
              <w:rPr>
                <w:rFonts w:hint="eastAsia" w:ascii="仿宋" w:hAnsi="仿宋" w:eastAsia="仿宋"/>
                <w:sz w:val="28"/>
                <w:szCs w:val="28"/>
              </w:rPr>
              <w:t>全国性体育或艺术比赛获奖</w:t>
            </w:r>
          </w:p>
        </w:tc>
        <w:tc>
          <w:tcPr>
            <w:tcW w:w="2211" w:type="dxa"/>
            <w:noWrap/>
          </w:tcPr>
          <w:p w14:paraId="0567DF4A">
            <w:pPr>
              <w:jc w:val="center"/>
              <w:rPr>
                <w:rFonts w:hint="eastAsia" w:ascii="仿宋" w:hAnsi="仿宋" w:eastAsia="仿宋"/>
                <w:sz w:val="28"/>
                <w:szCs w:val="28"/>
              </w:rPr>
            </w:pPr>
            <w:r>
              <w:rPr>
                <w:rFonts w:hint="eastAsia" w:ascii="仿宋" w:hAnsi="仿宋" w:eastAsia="仿宋"/>
                <w:sz w:val="28"/>
                <w:szCs w:val="28"/>
              </w:rPr>
              <w:t>1</w:t>
            </w:r>
          </w:p>
        </w:tc>
      </w:tr>
    </w:tbl>
    <w:p w14:paraId="104B3BAA">
      <w:pPr>
        <w:spacing w:before="156" w:beforeLines="50"/>
        <w:ind w:firstLine="562" w:firstLineChars="200"/>
        <w:jc w:val="left"/>
        <w:rPr>
          <w:rFonts w:ascii="仿宋" w:hAnsi="仿宋" w:eastAsia="仿宋" w:cs="Courier New"/>
          <w:b/>
          <w:bCs/>
          <w:sz w:val="28"/>
          <w:szCs w:val="28"/>
          <w:shd w:val="clear" w:color="auto" w:fill="FFFFFF"/>
        </w:rPr>
      </w:pPr>
      <w:r>
        <w:rPr>
          <w:rFonts w:hint="eastAsia" w:ascii="仿宋" w:hAnsi="仿宋" w:eastAsia="仿宋" w:cs="Courier New"/>
          <w:b/>
          <w:bCs/>
          <w:sz w:val="28"/>
          <w:szCs w:val="28"/>
          <w:shd w:val="clear" w:color="auto" w:fill="FFFFFF"/>
        </w:rPr>
        <w:t>一、荣誉表彰</w:t>
      </w:r>
    </w:p>
    <w:p w14:paraId="4B0C94BC">
      <w:pPr>
        <w:ind w:firstLine="560" w:firstLineChars="200"/>
        <w:rPr>
          <w:rFonts w:ascii="仿宋" w:hAnsi="仿宋" w:eastAsia="仿宋"/>
          <w:sz w:val="28"/>
          <w:szCs w:val="28"/>
        </w:rPr>
      </w:pPr>
      <w:r>
        <w:rPr>
          <w:rFonts w:hint="eastAsia" w:ascii="仿宋" w:hAnsi="仿宋" w:eastAsia="仿宋"/>
          <w:sz w:val="28"/>
          <w:szCs w:val="28"/>
        </w:rPr>
        <w:t>1.国家级:获全国道德模范、中国大学生年度人物、全国优秀共产党员、全国优秀共青团员、全国优秀学生干部、全国三好学生、中国大学生自强之星、全国最美大学生等荣誉计2分。</w:t>
      </w:r>
    </w:p>
    <w:p w14:paraId="758C635B">
      <w:pPr>
        <w:ind w:firstLine="560" w:firstLineChars="200"/>
        <w:rPr>
          <w:rFonts w:ascii="仿宋" w:hAnsi="仿宋" w:eastAsia="仿宋"/>
          <w:sz w:val="28"/>
          <w:szCs w:val="28"/>
        </w:rPr>
      </w:pPr>
      <w:r>
        <w:rPr>
          <w:rFonts w:hint="eastAsia" w:ascii="仿宋" w:hAnsi="仿宋" w:eastAsia="仿宋"/>
          <w:sz w:val="28"/>
          <w:szCs w:val="28"/>
        </w:rPr>
        <w:t>2.省部级:获省三好学生、省优秀学生干部、省优秀共产党员、省优秀共青团员、省优秀学生干部、省最美大学生，省年度影响力大学生等荣誉计1分。</w:t>
      </w:r>
    </w:p>
    <w:p w14:paraId="2F95CC8B">
      <w:pPr>
        <w:ind w:firstLine="560" w:firstLineChars="200"/>
        <w:rPr>
          <w:rFonts w:hint="eastAsia" w:ascii="仿宋" w:hAnsi="仿宋" w:eastAsia="仿宋"/>
          <w:sz w:val="28"/>
          <w:szCs w:val="28"/>
        </w:rPr>
      </w:pPr>
      <w:r>
        <w:rPr>
          <w:rFonts w:hint="eastAsia" w:ascii="仿宋" w:hAnsi="仿宋" w:eastAsia="仿宋"/>
          <w:sz w:val="28"/>
          <w:szCs w:val="28"/>
        </w:rPr>
        <w:t>3.同一类型荣誉称号同时获得国家级和省级，不重复计分，只记国家级分值。不同类型荣誉称号可累积计分。</w:t>
      </w:r>
    </w:p>
    <w:p w14:paraId="632C5343">
      <w:pPr>
        <w:spacing w:after="160"/>
        <w:ind w:firstLine="562" w:firstLineChars="200"/>
        <w:jc w:val="left"/>
        <w:rPr>
          <w:rFonts w:hint="eastAsia" w:ascii="仿宋" w:hAnsi="仿宋" w:eastAsia="仿宋" w:cs="Courier New"/>
          <w:b/>
          <w:bCs/>
          <w:sz w:val="28"/>
          <w:szCs w:val="28"/>
          <w:shd w:val="clear" w:color="auto" w:fill="FFFFFF"/>
        </w:rPr>
      </w:pPr>
      <w:r>
        <w:rPr>
          <w:rFonts w:hint="eastAsia" w:ascii="仿宋" w:hAnsi="仿宋" w:eastAsia="仿宋" w:cs="Courier New"/>
          <w:b/>
          <w:bCs/>
          <w:sz w:val="28"/>
          <w:szCs w:val="28"/>
          <w:shd w:val="clear" w:color="auto" w:fill="FFFFFF"/>
        </w:rPr>
        <w:t>二、参军入伍服兵役</w:t>
      </w:r>
    </w:p>
    <w:p w14:paraId="36831765">
      <w:pPr>
        <w:ind w:firstLine="560" w:firstLineChars="200"/>
        <w:rPr>
          <w:rFonts w:hint="eastAsia" w:ascii="仿宋" w:hAnsi="仿宋" w:eastAsia="仿宋"/>
          <w:sz w:val="28"/>
          <w:szCs w:val="28"/>
        </w:rPr>
      </w:pPr>
      <w:r>
        <w:rPr>
          <w:rFonts w:hint="eastAsia" w:ascii="仿宋" w:hAnsi="仿宋" w:eastAsia="仿宋"/>
          <w:sz w:val="28"/>
          <w:szCs w:val="28"/>
        </w:rPr>
        <w:t>学生圆满完成服兵役义务，出具学校认可的相关证明，计2分。</w:t>
      </w:r>
    </w:p>
    <w:p w14:paraId="5E25404D">
      <w:pPr>
        <w:spacing w:after="160"/>
        <w:ind w:firstLine="562" w:firstLineChars="200"/>
        <w:jc w:val="left"/>
        <w:rPr>
          <w:rFonts w:hint="eastAsia" w:ascii="仿宋" w:hAnsi="仿宋" w:eastAsia="仿宋" w:cs="Courier New"/>
          <w:b/>
          <w:bCs/>
          <w:sz w:val="28"/>
          <w:szCs w:val="28"/>
          <w:shd w:val="clear" w:color="auto" w:fill="FFFFFF"/>
        </w:rPr>
      </w:pPr>
      <w:r>
        <w:rPr>
          <w:rFonts w:hint="eastAsia" w:ascii="仿宋" w:hAnsi="仿宋" w:eastAsia="仿宋" w:cs="Courier New"/>
          <w:b/>
          <w:bCs/>
          <w:sz w:val="28"/>
          <w:szCs w:val="28"/>
          <w:shd w:val="clear" w:color="auto" w:fill="FFFFFF"/>
        </w:rPr>
        <w:t>三、志愿服务或公益活动</w:t>
      </w:r>
    </w:p>
    <w:p w14:paraId="2FD5B4B2">
      <w:pPr>
        <w:ind w:firstLine="560" w:firstLineChars="200"/>
        <w:rPr>
          <w:rFonts w:hint="eastAsia" w:ascii="仿宋" w:hAnsi="仿宋" w:eastAsia="仿宋"/>
          <w:sz w:val="28"/>
          <w:szCs w:val="28"/>
        </w:rPr>
      </w:pPr>
      <w:r>
        <w:rPr>
          <w:rFonts w:hint="eastAsia" w:ascii="仿宋" w:hAnsi="仿宋" w:eastAsia="仿宋"/>
          <w:sz w:val="28"/>
          <w:szCs w:val="28"/>
        </w:rPr>
        <w:t>1.志愿者服务或公益活动项目以校团委审定为准，国家级1分，省级0.5分。如有多位成员（有效名次为前五），则按照排序分别计分：第一按满额业绩分计算，第二、三按照 50%计算，第四、五按照25%计算。</w:t>
      </w:r>
    </w:p>
    <w:p w14:paraId="343A1528">
      <w:pPr>
        <w:ind w:firstLine="560" w:firstLineChars="200"/>
        <w:rPr>
          <w:rFonts w:hint="eastAsia" w:ascii="仿宋" w:hAnsi="仿宋" w:eastAsia="仿宋"/>
          <w:sz w:val="28"/>
          <w:szCs w:val="28"/>
        </w:rPr>
      </w:pPr>
      <w:r>
        <w:rPr>
          <w:rFonts w:hint="eastAsia" w:ascii="仿宋" w:hAnsi="仿宋" w:eastAsia="仿宋"/>
          <w:sz w:val="28"/>
          <w:szCs w:val="28"/>
        </w:rPr>
        <w:t>2.暑期“三下乡”项目中，团队或个人获国家级奖励计1分，省级奖励计0.5分；如有多位成员（有效名次为前五），则按照排序分别计分：第一按满额业绩分计算，第二、三按照 50%计算，第四、五按照25%计算。同一个项目中，团队和个人获奖不重复计分。</w:t>
      </w:r>
    </w:p>
    <w:p w14:paraId="3FF9748D">
      <w:pPr>
        <w:spacing w:after="160"/>
        <w:ind w:firstLine="562" w:firstLineChars="200"/>
        <w:jc w:val="left"/>
        <w:rPr>
          <w:rFonts w:hint="eastAsia" w:ascii="仿宋" w:hAnsi="仿宋" w:eastAsia="仿宋" w:cs="Courier New"/>
          <w:b/>
          <w:bCs/>
          <w:sz w:val="28"/>
          <w:szCs w:val="28"/>
          <w:shd w:val="clear" w:color="auto" w:fill="FFFFFF"/>
        </w:rPr>
      </w:pPr>
      <w:r>
        <w:rPr>
          <w:rFonts w:hint="eastAsia" w:ascii="仿宋" w:hAnsi="仿宋" w:eastAsia="仿宋" w:cs="Courier New"/>
          <w:b/>
          <w:bCs/>
          <w:sz w:val="28"/>
          <w:szCs w:val="28"/>
          <w:shd w:val="clear" w:color="auto" w:fill="FFFFFF"/>
        </w:rPr>
        <w:t>四、国际组织实习和交流</w:t>
      </w:r>
    </w:p>
    <w:p w14:paraId="5FF91266">
      <w:pPr>
        <w:ind w:firstLine="560" w:firstLineChars="200"/>
        <w:rPr>
          <w:rFonts w:hint="eastAsia" w:ascii="仿宋" w:hAnsi="仿宋" w:eastAsia="仿宋"/>
          <w:sz w:val="28"/>
          <w:szCs w:val="28"/>
        </w:rPr>
      </w:pPr>
      <w:r>
        <w:rPr>
          <w:rFonts w:hint="eastAsia" w:ascii="仿宋" w:hAnsi="仿宋" w:eastAsia="仿宋"/>
          <w:sz w:val="28"/>
          <w:szCs w:val="28"/>
        </w:rPr>
        <w:t>参加并完成教育部、国家留学基金委或其他部委认可的国际组织实习项目，累计加分不超</w:t>
      </w:r>
      <w:r>
        <w:rPr>
          <w:rFonts w:ascii="仿宋" w:hAnsi="仿宋" w:eastAsia="仿宋"/>
          <w:sz w:val="28"/>
          <w:szCs w:val="28"/>
        </w:rPr>
        <w:t>1分，具体</w:t>
      </w:r>
      <w:r>
        <w:rPr>
          <w:rFonts w:hint="eastAsia" w:ascii="仿宋" w:hAnsi="仿宋" w:eastAsia="仿宋"/>
          <w:sz w:val="28"/>
          <w:szCs w:val="28"/>
        </w:rPr>
        <w:t>计</w:t>
      </w:r>
      <w:r>
        <w:rPr>
          <w:rFonts w:ascii="仿宋" w:hAnsi="仿宋" w:eastAsia="仿宋"/>
          <w:sz w:val="28"/>
          <w:szCs w:val="28"/>
        </w:rPr>
        <w:t>分规则如下：</w:t>
      </w:r>
    </w:p>
    <w:p w14:paraId="7143B056">
      <w:pPr>
        <w:ind w:firstLine="560" w:firstLineChars="200"/>
        <w:rPr>
          <w:rFonts w:hint="eastAsia" w:ascii="仿宋" w:hAnsi="仿宋" w:eastAsia="仿宋"/>
          <w:sz w:val="28"/>
          <w:szCs w:val="28"/>
        </w:rPr>
      </w:pPr>
      <w:r>
        <w:rPr>
          <w:rFonts w:hint="eastAsia" w:ascii="仿宋" w:hAnsi="仿宋" w:eastAsia="仿宋"/>
          <w:sz w:val="28"/>
          <w:szCs w:val="28"/>
        </w:rPr>
        <w:t>（1）时间达到</w:t>
      </w:r>
      <w:r>
        <w:rPr>
          <w:rFonts w:ascii="仿宋" w:hAnsi="仿宋" w:eastAsia="仿宋"/>
          <w:sz w:val="28"/>
          <w:szCs w:val="28"/>
        </w:rPr>
        <w:t>6个月及以上，</w:t>
      </w:r>
      <w:r>
        <w:rPr>
          <w:rFonts w:hint="eastAsia" w:ascii="仿宋" w:hAnsi="仿宋" w:eastAsia="仿宋"/>
          <w:sz w:val="28"/>
          <w:szCs w:val="28"/>
        </w:rPr>
        <w:t>计1</w:t>
      </w:r>
      <w:r>
        <w:rPr>
          <w:rFonts w:ascii="仿宋" w:hAnsi="仿宋" w:eastAsia="仿宋"/>
          <w:sz w:val="28"/>
          <w:szCs w:val="28"/>
        </w:rPr>
        <w:t>分</w:t>
      </w:r>
      <w:r>
        <w:rPr>
          <w:rFonts w:hint="eastAsia" w:ascii="仿宋" w:hAnsi="仿宋" w:eastAsia="仿宋"/>
          <w:sz w:val="28"/>
          <w:szCs w:val="28"/>
        </w:rPr>
        <w:t>。</w:t>
      </w:r>
    </w:p>
    <w:p w14:paraId="4CD0D8EA">
      <w:pPr>
        <w:ind w:firstLine="560" w:firstLineChars="200"/>
        <w:rPr>
          <w:rFonts w:hint="eastAsia" w:ascii="仿宋" w:hAnsi="仿宋" w:eastAsia="仿宋"/>
          <w:sz w:val="28"/>
          <w:szCs w:val="28"/>
        </w:rPr>
      </w:pPr>
      <w:r>
        <w:rPr>
          <w:rFonts w:hint="eastAsia" w:ascii="仿宋" w:hAnsi="仿宋" w:eastAsia="仿宋"/>
          <w:sz w:val="28"/>
          <w:szCs w:val="28"/>
        </w:rPr>
        <w:t>（2）时间达到</w:t>
      </w:r>
      <w:r>
        <w:rPr>
          <w:rFonts w:ascii="仿宋" w:hAnsi="仿宋" w:eastAsia="仿宋"/>
          <w:sz w:val="28"/>
          <w:szCs w:val="28"/>
        </w:rPr>
        <w:t>3个月及以上，6个月以下，</w:t>
      </w:r>
      <w:r>
        <w:rPr>
          <w:rFonts w:hint="eastAsia" w:ascii="仿宋" w:hAnsi="仿宋" w:eastAsia="仿宋"/>
          <w:sz w:val="28"/>
          <w:szCs w:val="28"/>
        </w:rPr>
        <w:t>计</w:t>
      </w:r>
      <w:r>
        <w:rPr>
          <w:rFonts w:ascii="仿宋" w:hAnsi="仿宋" w:eastAsia="仿宋"/>
          <w:sz w:val="28"/>
          <w:szCs w:val="28"/>
        </w:rPr>
        <w:t>0.</w:t>
      </w:r>
      <w:r>
        <w:rPr>
          <w:rFonts w:hint="eastAsia" w:ascii="仿宋" w:hAnsi="仿宋" w:eastAsia="仿宋"/>
          <w:sz w:val="28"/>
          <w:szCs w:val="28"/>
        </w:rPr>
        <w:t>5</w:t>
      </w:r>
      <w:r>
        <w:rPr>
          <w:rFonts w:ascii="仿宋" w:hAnsi="仿宋" w:eastAsia="仿宋"/>
          <w:sz w:val="28"/>
          <w:szCs w:val="28"/>
        </w:rPr>
        <w:t>分。</w:t>
      </w:r>
    </w:p>
    <w:p w14:paraId="4007ED66">
      <w:pPr>
        <w:spacing w:after="160"/>
        <w:ind w:firstLine="562" w:firstLineChars="200"/>
        <w:jc w:val="left"/>
        <w:rPr>
          <w:rFonts w:hint="eastAsia" w:ascii="仿宋" w:hAnsi="仿宋" w:eastAsia="仿宋" w:cs="Courier New"/>
          <w:b/>
          <w:bCs/>
          <w:sz w:val="28"/>
          <w:szCs w:val="28"/>
          <w:shd w:val="clear" w:color="auto" w:fill="FFFFFF"/>
        </w:rPr>
      </w:pPr>
      <w:r>
        <w:rPr>
          <w:rFonts w:hint="eastAsia" w:ascii="仿宋" w:hAnsi="仿宋" w:eastAsia="仿宋" w:cs="Courier New"/>
          <w:b/>
          <w:bCs/>
          <w:sz w:val="28"/>
          <w:szCs w:val="28"/>
          <w:shd w:val="clear" w:color="auto" w:fill="FFFFFF"/>
        </w:rPr>
        <w:t>五、创新成果</w:t>
      </w:r>
    </w:p>
    <w:p w14:paraId="0B2B4BA2">
      <w:pPr>
        <w:ind w:firstLine="562" w:firstLineChars="200"/>
        <w:rPr>
          <w:rFonts w:hint="eastAsia" w:ascii="仿宋" w:hAnsi="仿宋" w:eastAsia="仿宋"/>
          <w:b/>
          <w:bCs/>
          <w:sz w:val="28"/>
          <w:szCs w:val="28"/>
        </w:rPr>
      </w:pPr>
      <w:r>
        <w:rPr>
          <w:rFonts w:hint="eastAsia" w:ascii="仿宋" w:hAnsi="仿宋" w:eastAsia="仿宋"/>
          <w:b/>
          <w:bCs/>
          <w:sz w:val="28"/>
          <w:szCs w:val="28"/>
        </w:rPr>
        <w:t>1.专利和软件著作权</w:t>
      </w:r>
    </w:p>
    <w:p w14:paraId="17014DB6">
      <w:pPr>
        <w:ind w:firstLine="560" w:firstLineChars="200"/>
        <w:rPr>
          <w:rFonts w:hint="eastAsia" w:ascii="仿宋" w:hAnsi="仿宋" w:eastAsia="仿宋"/>
          <w:sz w:val="28"/>
          <w:szCs w:val="28"/>
        </w:rPr>
      </w:pPr>
      <w:r>
        <w:rPr>
          <w:rFonts w:hint="eastAsia" w:ascii="仿宋" w:hAnsi="仿宋" w:eastAsia="仿宋"/>
          <w:sz w:val="28"/>
          <w:szCs w:val="28"/>
        </w:rPr>
        <w:t>（1）专利包括发明专利、实用新型专利和外观设计专利，计分对应表2中的标准。实用新型专利或外观设计专利（两种类型选择一种类型且仅限1项）；软件著作权（仅限1项）。专利和软件著作权须与本专业相关。</w:t>
      </w:r>
    </w:p>
    <w:p w14:paraId="280EFA03">
      <w:pPr>
        <w:ind w:firstLine="560" w:firstLineChars="200"/>
        <w:rPr>
          <w:rFonts w:hint="eastAsia" w:ascii="仿宋" w:hAnsi="仿宋" w:eastAsia="仿宋"/>
          <w:sz w:val="28"/>
          <w:szCs w:val="28"/>
        </w:rPr>
      </w:pPr>
      <w:r>
        <w:rPr>
          <w:rFonts w:hint="eastAsia" w:ascii="仿宋" w:hAnsi="仿宋" w:eastAsia="仿宋"/>
          <w:sz w:val="28"/>
          <w:szCs w:val="28"/>
        </w:rPr>
        <w:t>（2）成果</w:t>
      </w:r>
      <w:r>
        <w:rPr>
          <w:rFonts w:ascii="仿宋" w:hAnsi="仿宋" w:eastAsia="仿宋"/>
          <w:sz w:val="28"/>
          <w:szCs w:val="28"/>
        </w:rPr>
        <w:t>以独立作者或者第一作者发表，或与指导老师联合</w:t>
      </w:r>
      <w:r>
        <w:rPr>
          <w:rFonts w:hint="eastAsia" w:ascii="仿宋" w:hAnsi="仿宋" w:eastAsia="仿宋"/>
          <w:sz w:val="28"/>
          <w:szCs w:val="28"/>
        </w:rPr>
        <w:t>完成</w:t>
      </w:r>
      <w:r>
        <w:rPr>
          <w:rFonts w:ascii="仿宋" w:hAnsi="仿宋" w:eastAsia="仿宋"/>
          <w:sz w:val="28"/>
          <w:szCs w:val="28"/>
        </w:rPr>
        <w:t>（仅限指导老师作为第一作者，学生作为第二作者的情况）的与学业相关的</w:t>
      </w:r>
      <w:r>
        <w:rPr>
          <w:rFonts w:hint="eastAsia" w:ascii="仿宋" w:hAnsi="仿宋" w:eastAsia="仿宋"/>
          <w:sz w:val="28"/>
          <w:szCs w:val="28"/>
        </w:rPr>
        <w:t>成果。</w:t>
      </w:r>
      <w:r>
        <w:rPr>
          <w:rFonts w:ascii="仿宋" w:hAnsi="仿宋" w:eastAsia="仿宋"/>
          <w:sz w:val="28"/>
          <w:szCs w:val="28"/>
        </w:rPr>
        <w:t>学校将严格查处任何形式的学术不端行为。</w:t>
      </w:r>
    </w:p>
    <w:p w14:paraId="619A1616">
      <w:pPr>
        <w:ind w:firstLine="562" w:firstLineChars="200"/>
        <w:jc w:val="center"/>
        <w:rPr>
          <w:rFonts w:hint="eastAsia" w:ascii="仿宋" w:hAnsi="仿宋" w:eastAsia="仿宋"/>
          <w:b/>
          <w:bCs/>
          <w:sz w:val="28"/>
          <w:szCs w:val="28"/>
        </w:rPr>
      </w:pPr>
      <w:r>
        <w:rPr>
          <w:rFonts w:hint="eastAsia" w:ascii="仿宋" w:hAnsi="仿宋" w:eastAsia="仿宋"/>
          <w:b/>
          <w:bCs/>
          <w:sz w:val="28"/>
          <w:szCs w:val="28"/>
        </w:rPr>
        <w:t>表2 专利和软件著作权计分标准</w:t>
      </w:r>
    </w:p>
    <w:tbl>
      <w:tblPr>
        <w:tblStyle w:val="15"/>
        <w:tblW w:w="70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38"/>
        <w:gridCol w:w="4186"/>
        <w:gridCol w:w="1559"/>
      </w:tblGrid>
      <w:tr w14:paraId="6838E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338" w:type="dxa"/>
            <w:noWrap/>
            <w:vAlign w:val="center"/>
          </w:tcPr>
          <w:p w14:paraId="6F4E3164">
            <w:pPr>
              <w:jc w:val="center"/>
              <w:rPr>
                <w:rFonts w:hint="eastAsia" w:ascii="仿宋" w:hAnsi="仿宋" w:eastAsia="仿宋"/>
                <w:b/>
                <w:bCs/>
                <w:sz w:val="28"/>
                <w:szCs w:val="28"/>
              </w:rPr>
            </w:pPr>
            <w:r>
              <w:rPr>
                <w:rFonts w:hint="eastAsia" w:ascii="仿宋" w:hAnsi="仿宋" w:eastAsia="仿宋"/>
                <w:b/>
                <w:bCs/>
                <w:sz w:val="28"/>
                <w:szCs w:val="28"/>
              </w:rPr>
              <w:t>序号</w:t>
            </w:r>
          </w:p>
        </w:tc>
        <w:tc>
          <w:tcPr>
            <w:tcW w:w="4186" w:type="dxa"/>
            <w:noWrap/>
            <w:vAlign w:val="center"/>
          </w:tcPr>
          <w:p w14:paraId="25C9BCA5">
            <w:pPr>
              <w:jc w:val="center"/>
              <w:rPr>
                <w:rFonts w:hint="eastAsia" w:ascii="仿宋" w:hAnsi="仿宋" w:eastAsia="仿宋"/>
                <w:b/>
                <w:bCs/>
                <w:sz w:val="28"/>
                <w:szCs w:val="28"/>
              </w:rPr>
            </w:pPr>
            <w:r>
              <w:rPr>
                <w:rFonts w:hint="eastAsia" w:ascii="仿宋" w:hAnsi="仿宋" w:eastAsia="仿宋"/>
                <w:b/>
                <w:bCs/>
                <w:sz w:val="28"/>
                <w:szCs w:val="28"/>
              </w:rPr>
              <w:t>内容或等级</w:t>
            </w:r>
          </w:p>
        </w:tc>
        <w:tc>
          <w:tcPr>
            <w:tcW w:w="1559" w:type="dxa"/>
            <w:noWrap/>
            <w:vAlign w:val="center"/>
          </w:tcPr>
          <w:p w14:paraId="4756CE66">
            <w:pPr>
              <w:jc w:val="center"/>
              <w:rPr>
                <w:rFonts w:hint="eastAsia" w:ascii="仿宋" w:hAnsi="仿宋" w:eastAsia="仿宋"/>
                <w:b/>
                <w:bCs/>
                <w:sz w:val="28"/>
                <w:szCs w:val="28"/>
              </w:rPr>
            </w:pPr>
            <w:r>
              <w:rPr>
                <w:rFonts w:hint="eastAsia" w:ascii="仿宋" w:hAnsi="仿宋" w:eastAsia="仿宋"/>
                <w:b/>
                <w:bCs/>
                <w:sz w:val="28"/>
                <w:szCs w:val="28"/>
              </w:rPr>
              <w:t>每项分值</w:t>
            </w:r>
          </w:p>
        </w:tc>
      </w:tr>
      <w:tr w14:paraId="7A635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338" w:type="dxa"/>
            <w:noWrap/>
            <w:vAlign w:val="center"/>
          </w:tcPr>
          <w:p w14:paraId="6AA8F245">
            <w:pPr>
              <w:jc w:val="center"/>
              <w:rPr>
                <w:rFonts w:hint="eastAsia" w:ascii="仿宋" w:hAnsi="仿宋" w:eastAsia="仿宋"/>
                <w:sz w:val="28"/>
                <w:szCs w:val="28"/>
              </w:rPr>
            </w:pPr>
            <w:r>
              <w:rPr>
                <w:rFonts w:hint="eastAsia" w:ascii="仿宋" w:hAnsi="仿宋" w:eastAsia="仿宋"/>
                <w:sz w:val="28"/>
                <w:szCs w:val="28"/>
              </w:rPr>
              <w:t>1</w:t>
            </w:r>
          </w:p>
        </w:tc>
        <w:tc>
          <w:tcPr>
            <w:tcW w:w="4186" w:type="dxa"/>
            <w:noWrap/>
            <w:vAlign w:val="center"/>
          </w:tcPr>
          <w:p w14:paraId="6E632B76">
            <w:pPr>
              <w:jc w:val="center"/>
              <w:rPr>
                <w:rFonts w:hint="eastAsia" w:ascii="仿宋" w:hAnsi="仿宋" w:eastAsia="仿宋"/>
                <w:sz w:val="28"/>
                <w:szCs w:val="28"/>
              </w:rPr>
            </w:pPr>
            <w:r>
              <w:rPr>
                <w:rFonts w:hint="eastAsia" w:ascii="仿宋" w:hAnsi="仿宋" w:eastAsia="仿宋"/>
                <w:sz w:val="28"/>
                <w:szCs w:val="28"/>
              </w:rPr>
              <w:t>发明专利</w:t>
            </w:r>
          </w:p>
        </w:tc>
        <w:tc>
          <w:tcPr>
            <w:tcW w:w="1559" w:type="dxa"/>
            <w:noWrap/>
            <w:vAlign w:val="center"/>
          </w:tcPr>
          <w:p w14:paraId="6D874B5F">
            <w:pPr>
              <w:jc w:val="center"/>
              <w:rPr>
                <w:rFonts w:hint="eastAsia" w:ascii="仿宋" w:hAnsi="仿宋" w:eastAsia="仿宋"/>
                <w:sz w:val="28"/>
                <w:szCs w:val="28"/>
              </w:rPr>
            </w:pPr>
            <w:r>
              <w:rPr>
                <w:rFonts w:hint="eastAsia" w:ascii="仿宋" w:hAnsi="仿宋" w:eastAsia="仿宋"/>
                <w:sz w:val="28"/>
                <w:szCs w:val="28"/>
              </w:rPr>
              <w:t>2</w:t>
            </w:r>
          </w:p>
        </w:tc>
      </w:tr>
      <w:tr w14:paraId="0D029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338" w:type="dxa"/>
            <w:noWrap/>
            <w:vAlign w:val="center"/>
          </w:tcPr>
          <w:p w14:paraId="513E1EE3">
            <w:pPr>
              <w:jc w:val="center"/>
              <w:rPr>
                <w:rFonts w:hint="eastAsia" w:ascii="仿宋" w:hAnsi="仿宋" w:eastAsia="仿宋"/>
                <w:sz w:val="28"/>
                <w:szCs w:val="28"/>
              </w:rPr>
            </w:pPr>
            <w:r>
              <w:rPr>
                <w:rFonts w:hint="eastAsia" w:ascii="仿宋" w:hAnsi="仿宋" w:eastAsia="仿宋"/>
                <w:sz w:val="28"/>
                <w:szCs w:val="28"/>
              </w:rPr>
              <w:t>2</w:t>
            </w:r>
          </w:p>
        </w:tc>
        <w:tc>
          <w:tcPr>
            <w:tcW w:w="4186" w:type="dxa"/>
            <w:noWrap/>
            <w:vAlign w:val="center"/>
          </w:tcPr>
          <w:p w14:paraId="5733D47D">
            <w:pPr>
              <w:jc w:val="center"/>
              <w:rPr>
                <w:rFonts w:hint="eastAsia" w:ascii="仿宋" w:hAnsi="仿宋" w:eastAsia="仿宋"/>
                <w:sz w:val="28"/>
                <w:szCs w:val="28"/>
              </w:rPr>
            </w:pPr>
            <w:r>
              <w:rPr>
                <w:rFonts w:ascii="仿宋" w:hAnsi="仿宋" w:eastAsia="仿宋"/>
                <w:sz w:val="28"/>
                <w:szCs w:val="28"/>
              </w:rPr>
              <w:t>实用新型</w:t>
            </w:r>
            <w:r>
              <w:rPr>
                <w:rFonts w:hint="eastAsia" w:ascii="仿宋" w:hAnsi="仿宋" w:eastAsia="仿宋"/>
                <w:sz w:val="28"/>
                <w:szCs w:val="28"/>
              </w:rPr>
              <w:t>专利或外观设计专利</w:t>
            </w:r>
          </w:p>
        </w:tc>
        <w:tc>
          <w:tcPr>
            <w:tcW w:w="1559" w:type="dxa"/>
            <w:noWrap/>
            <w:vAlign w:val="center"/>
          </w:tcPr>
          <w:p w14:paraId="7A6B9A12">
            <w:pPr>
              <w:jc w:val="center"/>
              <w:rPr>
                <w:rFonts w:hint="eastAsia" w:ascii="仿宋" w:hAnsi="仿宋" w:eastAsia="仿宋"/>
                <w:sz w:val="28"/>
                <w:szCs w:val="28"/>
              </w:rPr>
            </w:pPr>
            <w:r>
              <w:rPr>
                <w:rFonts w:hint="eastAsia" w:ascii="仿宋" w:hAnsi="仿宋" w:eastAsia="仿宋"/>
                <w:sz w:val="28"/>
                <w:szCs w:val="28"/>
              </w:rPr>
              <w:t>0.5</w:t>
            </w:r>
          </w:p>
        </w:tc>
      </w:tr>
      <w:tr w14:paraId="40B50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338" w:type="dxa"/>
            <w:noWrap/>
            <w:vAlign w:val="center"/>
          </w:tcPr>
          <w:p w14:paraId="383AACFF">
            <w:pPr>
              <w:jc w:val="center"/>
              <w:rPr>
                <w:rFonts w:hint="eastAsia" w:ascii="仿宋" w:hAnsi="仿宋" w:eastAsia="仿宋"/>
                <w:sz w:val="28"/>
                <w:szCs w:val="28"/>
              </w:rPr>
            </w:pPr>
            <w:r>
              <w:rPr>
                <w:rFonts w:hint="eastAsia" w:ascii="仿宋" w:hAnsi="仿宋" w:eastAsia="仿宋"/>
                <w:sz w:val="28"/>
                <w:szCs w:val="28"/>
              </w:rPr>
              <w:t>3</w:t>
            </w:r>
          </w:p>
        </w:tc>
        <w:tc>
          <w:tcPr>
            <w:tcW w:w="4186" w:type="dxa"/>
            <w:noWrap/>
            <w:vAlign w:val="center"/>
          </w:tcPr>
          <w:p w14:paraId="3E0B8BF4">
            <w:pPr>
              <w:jc w:val="center"/>
              <w:rPr>
                <w:rFonts w:hint="eastAsia" w:ascii="仿宋" w:hAnsi="仿宋" w:eastAsia="仿宋"/>
                <w:sz w:val="28"/>
                <w:szCs w:val="28"/>
              </w:rPr>
            </w:pPr>
            <w:r>
              <w:rPr>
                <w:rFonts w:hint="eastAsia" w:ascii="仿宋" w:hAnsi="仿宋" w:eastAsia="仿宋"/>
                <w:sz w:val="28"/>
                <w:szCs w:val="28"/>
              </w:rPr>
              <w:t>软件著作权</w:t>
            </w:r>
          </w:p>
        </w:tc>
        <w:tc>
          <w:tcPr>
            <w:tcW w:w="1559" w:type="dxa"/>
            <w:noWrap/>
            <w:vAlign w:val="center"/>
          </w:tcPr>
          <w:p w14:paraId="5C04D6E5">
            <w:pPr>
              <w:jc w:val="center"/>
              <w:rPr>
                <w:rFonts w:hint="eastAsia" w:ascii="仿宋" w:hAnsi="仿宋" w:eastAsia="仿宋"/>
                <w:sz w:val="28"/>
                <w:szCs w:val="28"/>
              </w:rPr>
            </w:pPr>
            <w:r>
              <w:rPr>
                <w:rFonts w:hint="eastAsia" w:ascii="仿宋" w:hAnsi="仿宋" w:eastAsia="仿宋"/>
                <w:sz w:val="28"/>
                <w:szCs w:val="28"/>
              </w:rPr>
              <w:t>0.2</w:t>
            </w:r>
          </w:p>
        </w:tc>
      </w:tr>
    </w:tbl>
    <w:p w14:paraId="3AD17ED3">
      <w:pPr>
        <w:ind w:firstLine="562" w:firstLineChars="200"/>
        <w:rPr>
          <w:rFonts w:hint="eastAsia" w:ascii="仿宋" w:hAnsi="仿宋" w:eastAsia="仿宋"/>
          <w:b/>
          <w:bCs/>
          <w:sz w:val="28"/>
          <w:szCs w:val="28"/>
        </w:rPr>
      </w:pPr>
      <w:r>
        <w:rPr>
          <w:rFonts w:hint="eastAsia" w:ascii="仿宋" w:hAnsi="仿宋" w:eastAsia="仿宋"/>
          <w:b/>
          <w:bCs/>
          <w:sz w:val="28"/>
          <w:szCs w:val="28"/>
        </w:rPr>
        <w:t>2.国家级大学生创新训练计划项目</w:t>
      </w:r>
    </w:p>
    <w:p w14:paraId="11FB2E9C">
      <w:pPr>
        <w:ind w:firstLine="560" w:firstLineChars="200"/>
        <w:rPr>
          <w:rFonts w:hint="eastAsia" w:ascii="仿宋" w:hAnsi="仿宋" w:eastAsia="仿宋"/>
          <w:sz w:val="28"/>
          <w:szCs w:val="28"/>
        </w:rPr>
      </w:pPr>
      <w:r>
        <w:rPr>
          <w:rFonts w:hint="eastAsia" w:ascii="仿宋" w:hAnsi="仿宋" w:eastAsia="仿宋"/>
          <w:sz w:val="28"/>
          <w:szCs w:val="28"/>
        </w:rPr>
        <w:t>（1）国家级大学生创新训练计划项目立项计0.5分，结项计0.5分。</w:t>
      </w:r>
    </w:p>
    <w:p w14:paraId="6C37D4DC">
      <w:pPr>
        <w:ind w:firstLine="560" w:firstLineChars="200"/>
        <w:rPr>
          <w:rFonts w:hint="eastAsia" w:ascii="仿宋" w:hAnsi="仿宋" w:eastAsia="仿宋"/>
          <w:sz w:val="28"/>
          <w:szCs w:val="28"/>
        </w:rPr>
      </w:pPr>
      <w:r>
        <w:rPr>
          <w:rFonts w:hint="eastAsia" w:ascii="仿宋" w:hAnsi="仿宋" w:eastAsia="仿宋"/>
          <w:sz w:val="28"/>
          <w:szCs w:val="28"/>
        </w:rPr>
        <w:t>（2）如有多位成员（有效名次为前五），则按照排序分别计分：第一按满额业绩分计算，第二、三按照 50%计算，第四、五按照25%计算。</w:t>
      </w:r>
    </w:p>
    <w:p w14:paraId="34EDF2FC">
      <w:pPr>
        <w:ind w:firstLine="562" w:firstLineChars="200"/>
        <w:rPr>
          <w:rFonts w:hint="eastAsia" w:ascii="仿宋" w:hAnsi="仿宋" w:eastAsia="仿宋"/>
          <w:sz w:val="28"/>
          <w:szCs w:val="28"/>
        </w:rPr>
      </w:pPr>
      <w:r>
        <w:rPr>
          <w:rFonts w:hint="eastAsia" w:ascii="仿宋" w:hAnsi="仿宋" w:eastAsia="仿宋"/>
          <w:b/>
          <w:bCs/>
          <w:sz w:val="28"/>
          <w:szCs w:val="28"/>
        </w:rPr>
        <w:t>3.国家级报刊上发表相关作品</w:t>
      </w:r>
    </w:p>
    <w:p w14:paraId="278F7927">
      <w:pPr>
        <w:ind w:firstLine="560" w:firstLineChars="200"/>
        <w:rPr>
          <w:rFonts w:hint="eastAsia" w:ascii="仿宋" w:hAnsi="仿宋" w:eastAsia="仿宋"/>
          <w:sz w:val="28"/>
          <w:szCs w:val="28"/>
        </w:rPr>
      </w:pPr>
      <w:r>
        <w:rPr>
          <w:rFonts w:hint="eastAsia" w:ascii="仿宋" w:hAnsi="仿宋" w:eastAsia="仿宋"/>
          <w:sz w:val="28"/>
          <w:szCs w:val="28"/>
        </w:rPr>
        <w:t>（1）在国家级报刊上发表文艺创作、评论以及新闻报道类的作品，计0.5分。国家级报刊，即由党中央、国务院及所属各部委，或中国科学院、中国社会科学院、各民主党派以及全国性人民团体主办的全国性报刊。具有全国统一刊号（CN号）。</w:t>
      </w:r>
    </w:p>
    <w:p w14:paraId="46278B35">
      <w:pPr>
        <w:ind w:firstLine="560" w:firstLineChars="200"/>
        <w:rPr>
          <w:rFonts w:hint="eastAsia" w:ascii="仿宋" w:hAnsi="仿宋" w:eastAsia="仿宋"/>
          <w:sz w:val="28"/>
          <w:szCs w:val="28"/>
        </w:rPr>
      </w:pPr>
      <w:r>
        <w:rPr>
          <w:rFonts w:hint="eastAsia" w:ascii="仿宋" w:hAnsi="仿宋" w:eastAsia="仿宋"/>
          <w:sz w:val="28"/>
          <w:szCs w:val="28"/>
        </w:rPr>
        <w:t>（2）成果</w:t>
      </w:r>
      <w:r>
        <w:rPr>
          <w:rFonts w:ascii="仿宋" w:hAnsi="仿宋" w:eastAsia="仿宋"/>
          <w:sz w:val="28"/>
          <w:szCs w:val="28"/>
        </w:rPr>
        <w:t>以独立作者或者第一作者发表，或与指导老师联合</w:t>
      </w:r>
      <w:r>
        <w:rPr>
          <w:rFonts w:hint="eastAsia" w:ascii="仿宋" w:hAnsi="仿宋" w:eastAsia="仿宋"/>
          <w:sz w:val="28"/>
          <w:szCs w:val="28"/>
        </w:rPr>
        <w:t>完成</w:t>
      </w:r>
      <w:r>
        <w:rPr>
          <w:rFonts w:ascii="仿宋" w:hAnsi="仿宋" w:eastAsia="仿宋"/>
          <w:sz w:val="28"/>
          <w:szCs w:val="28"/>
        </w:rPr>
        <w:t>（仅限指导老师作为第一作者，学生作为第二作者的情况）的与学业相关的</w:t>
      </w:r>
      <w:r>
        <w:rPr>
          <w:rFonts w:hint="eastAsia" w:ascii="仿宋" w:hAnsi="仿宋" w:eastAsia="仿宋"/>
          <w:sz w:val="28"/>
          <w:szCs w:val="28"/>
        </w:rPr>
        <w:t>成果。</w:t>
      </w:r>
    </w:p>
    <w:p w14:paraId="76145960">
      <w:pPr>
        <w:spacing w:after="160"/>
        <w:ind w:firstLine="562" w:firstLineChars="200"/>
        <w:jc w:val="left"/>
        <w:rPr>
          <w:rFonts w:hint="eastAsia" w:ascii="仿宋" w:hAnsi="仿宋" w:eastAsia="仿宋" w:cs="Courier New"/>
          <w:b/>
          <w:bCs/>
          <w:sz w:val="28"/>
          <w:szCs w:val="28"/>
          <w:shd w:val="clear" w:color="auto" w:fill="FFFFFF"/>
        </w:rPr>
      </w:pPr>
      <w:r>
        <w:rPr>
          <w:rFonts w:hint="eastAsia" w:ascii="仿宋" w:hAnsi="仿宋" w:eastAsia="仿宋" w:cs="Courier New"/>
          <w:b/>
          <w:bCs/>
          <w:sz w:val="28"/>
          <w:szCs w:val="28"/>
          <w:shd w:val="clear" w:color="auto" w:fill="FFFFFF"/>
        </w:rPr>
        <w:t>六、全国性体育或艺术比赛获奖</w:t>
      </w:r>
    </w:p>
    <w:p w14:paraId="05B5B203">
      <w:pPr>
        <w:ind w:firstLine="560" w:firstLineChars="200"/>
        <w:rPr>
          <w:rFonts w:hint="eastAsia" w:ascii="仿宋" w:hAnsi="仿宋" w:eastAsia="仿宋"/>
          <w:sz w:val="28"/>
          <w:szCs w:val="28"/>
        </w:rPr>
      </w:pPr>
      <w:r>
        <w:rPr>
          <w:rFonts w:hint="eastAsia" w:ascii="仿宋" w:hAnsi="仿宋" w:eastAsia="仿宋"/>
          <w:sz w:val="28"/>
          <w:szCs w:val="28"/>
        </w:rPr>
        <w:t>1.全国性体育或艺术比赛主要包括教育行政主管部门、学会或行业协会主办并经过学校认定的国家级学科竞赛，竞赛分类按教育主管部门对应学年公布的学科竞赛目录执行。</w:t>
      </w:r>
    </w:p>
    <w:p w14:paraId="267AD391">
      <w:pPr>
        <w:ind w:firstLine="560" w:firstLineChars="200"/>
        <w:rPr>
          <w:rFonts w:hint="eastAsia" w:ascii="仿宋" w:hAnsi="仿宋" w:eastAsia="仿宋"/>
          <w:sz w:val="28"/>
          <w:szCs w:val="28"/>
        </w:rPr>
      </w:pPr>
      <w:r>
        <w:rPr>
          <w:rFonts w:ascii="仿宋" w:hAnsi="仿宋" w:eastAsia="仿宋"/>
          <w:sz w:val="28"/>
          <w:szCs w:val="28"/>
        </w:rPr>
        <w:t>2.必须为学生本科阶段参加的国内权威</w:t>
      </w:r>
      <w:r>
        <w:rPr>
          <w:rFonts w:hint="eastAsia" w:ascii="仿宋" w:hAnsi="仿宋" w:eastAsia="仿宋"/>
          <w:sz w:val="28"/>
          <w:szCs w:val="28"/>
        </w:rPr>
        <w:t>竞赛</w:t>
      </w:r>
      <w:r>
        <w:rPr>
          <w:rFonts w:ascii="仿宋" w:hAnsi="仿宋" w:eastAsia="仿宋"/>
          <w:sz w:val="28"/>
          <w:szCs w:val="28"/>
        </w:rPr>
        <w:t>（仅限于全国赛）并获得三等奖及以上奖励；对于国际赛事参照执行，不得低于国内赛事相关的标准和要求。</w:t>
      </w:r>
    </w:p>
    <w:p w14:paraId="5113172D">
      <w:pPr>
        <w:ind w:firstLine="560" w:firstLineChars="200"/>
        <w:rPr>
          <w:rFonts w:hint="eastAsia" w:ascii="仿宋" w:hAnsi="仿宋" w:eastAsia="仿宋"/>
          <w:sz w:val="28"/>
          <w:szCs w:val="28"/>
        </w:rPr>
      </w:pPr>
      <w:r>
        <w:rPr>
          <w:rFonts w:hint="eastAsia" w:ascii="仿宋" w:hAnsi="仿宋" w:eastAsia="仿宋"/>
          <w:sz w:val="28"/>
          <w:szCs w:val="28"/>
        </w:rPr>
        <w:t>3.</w:t>
      </w:r>
      <w:r>
        <w:rPr>
          <w:rFonts w:ascii="仿宋" w:hAnsi="仿宋" w:eastAsia="仿宋"/>
          <w:sz w:val="28"/>
          <w:szCs w:val="28"/>
        </w:rPr>
        <w:t>如果大赛设置特等奖、一等奖、二等奖，则分别对应表</w:t>
      </w:r>
      <w:r>
        <w:rPr>
          <w:rFonts w:hint="eastAsia" w:ascii="仿宋" w:hAnsi="仿宋" w:eastAsia="仿宋"/>
          <w:sz w:val="28"/>
          <w:szCs w:val="28"/>
        </w:rPr>
        <w:t>3</w:t>
      </w:r>
      <w:r>
        <w:rPr>
          <w:rFonts w:ascii="仿宋" w:hAnsi="仿宋" w:eastAsia="仿宋"/>
          <w:sz w:val="28"/>
          <w:szCs w:val="28"/>
        </w:rPr>
        <w:t>中一、二、三等奖；如果设置特等奖、一等奖、二等奖、三等奖，则特等奖和一等奖对应一等奖，其他不变；如果等级为金奖、银奖、铜奖，则对应表</w:t>
      </w:r>
      <w:r>
        <w:rPr>
          <w:rFonts w:hint="eastAsia" w:ascii="仿宋" w:hAnsi="仿宋" w:eastAsia="仿宋"/>
          <w:sz w:val="28"/>
          <w:szCs w:val="28"/>
        </w:rPr>
        <w:t>3中</w:t>
      </w:r>
      <w:r>
        <w:rPr>
          <w:rFonts w:ascii="仿宋" w:hAnsi="仿宋" w:eastAsia="仿宋"/>
          <w:sz w:val="28"/>
          <w:szCs w:val="28"/>
        </w:rPr>
        <w:t>一、二、三等奖。</w:t>
      </w:r>
    </w:p>
    <w:p w14:paraId="646CE759">
      <w:pPr>
        <w:jc w:val="center"/>
        <w:rPr>
          <w:rFonts w:hint="eastAsia" w:ascii="仿宋" w:hAnsi="仿宋" w:eastAsia="仿宋"/>
          <w:b/>
          <w:bCs/>
          <w:sz w:val="28"/>
          <w:szCs w:val="28"/>
        </w:rPr>
      </w:pPr>
      <w:r>
        <w:rPr>
          <w:rFonts w:hint="eastAsia" w:ascii="仿宋" w:hAnsi="仿宋" w:eastAsia="仿宋"/>
          <w:b/>
          <w:bCs/>
          <w:sz w:val="28"/>
          <w:szCs w:val="28"/>
        </w:rPr>
        <w:t>表3 全国性体育或艺术比赛获奖计分标准</w:t>
      </w:r>
    </w:p>
    <w:tbl>
      <w:tblPr>
        <w:tblStyle w:val="15"/>
        <w:tblW w:w="5665" w:type="dxa"/>
        <w:jc w:val="center"/>
        <w:tblLayout w:type="autofit"/>
        <w:tblCellMar>
          <w:top w:w="0" w:type="dxa"/>
          <w:left w:w="108" w:type="dxa"/>
          <w:bottom w:w="0" w:type="dxa"/>
          <w:right w:w="108" w:type="dxa"/>
        </w:tblCellMar>
      </w:tblPr>
      <w:tblGrid>
        <w:gridCol w:w="1040"/>
        <w:gridCol w:w="2900"/>
        <w:gridCol w:w="1725"/>
      </w:tblGrid>
      <w:tr w14:paraId="59DA3CBC">
        <w:tblPrEx>
          <w:tblCellMar>
            <w:top w:w="0" w:type="dxa"/>
            <w:left w:w="108" w:type="dxa"/>
            <w:bottom w:w="0" w:type="dxa"/>
            <w:right w:w="108" w:type="dxa"/>
          </w:tblCellMar>
        </w:tblPrEx>
        <w:trPr>
          <w:trHeight w:val="280" w:hRule="atLeast"/>
          <w:jc w:val="center"/>
        </w:trPr>
        <w:tc>
          <w:tcPr>
            <w:tcW w:w="1040" w:type="dxa"/>
            <w:tcBorders>
              <w:top w:val="single" w:color="auto" w:sz="4" w:space="0"/>
              <w:left w:val="single" w:color="auto" w:sz="4" w:space="0"/>
              <w:bottom w:val="single" w:color="auto" w:sz="4" w:space="0"/>
              <w:right w:val="single" w:color="auto" w:sz="4" w:space="0"/>
            </w:tcBorders>
            <w:noWrap/>
            <w:vAlign w:val="center"/>
          </w:tcPr>
          <w:p w14:paraId="40F41E8B">
            <w:pPr>
              <w:jc w:val="center"/>
              <w:rPr>
                <w:rFonts w:hint="eastAsia" w:ascii="仿宋" w:hAnsi="仿宋" w:eastAsia="仿宋"/>
                <w:b/>
                <w:bCs/>
                <w:sz w:val="28"/>
                <w:szCs w:val="28"/>
              </w:rPr>
            </w:pPr>
            <w:r>
              <w:rPr>
                <w:rFonts w:hint="eastAsia" w:ascii="仿宋" w:hAnsi="仿宋" w:eastAsia="仿宋"/>
                <w:b/>
                <w:bCs/>
                <w:sz w:val="28"/>
                <w:szCs w:val="28"/>
              </w:rPr>
              <w:t>序号</w:t>
            </w:r>
          </w:p>
        </w:tc>
        <w:tc>
          <w:tcPr>
            <w:tcW w:w="2900" w:type="dxa"/>
            <w:tcBorders>
              <w:top w:val="single" w:color="auto" w:sz="4" w:space="0"/>
              <w:left w:val="nil"/>
              <w:bottom w:val="single" w:color="auto" w:sz="4" w:space="0"/>
              <w:right w:val="single" w:color="auto" w:sz="4" w:space="0"/>
            </w:tcBorders>
            <w:noWrap/>
            <w:vAlign w:val="center"/>
          </w:tcPr>
          <w:p w14:paraId="704492D5">
            <w:pPr>
              <w:jc w:val="center"/>
              <w:rPr>
                <w:rFonts w:hint="eastAsia" w:ascii="仿宋" w:hAnsi="仿宋" w:eastAsia="仿宋"/>
                <w:b/>
                <w:bCs/>
                <w:sz w:val="28"/>
                <w:szCs w:val="28"/>
              </w:rPr>
            </w:pPr>
            <w:r>
              <w:rPr>
                <w:rFonts w:hint="eastAsia" w:ascii="仿宋" w:hAnsi="仿宋" w:eastAsia="仿宋"/>
                <w:b/>
                <w:bCs/>
                <w:sz w:val="28"/>
                <w:szCs w:val="28"/>
              </w:rPr>
              <w:t>内容或等级</w:t>
            </w:r>
          </w:p>
        </w:tc>
        <w:tc>
          <w:tcPr>
            <w:tcW w:w="1725" w:type="dxa"/>
            <w:tcBorders>
              <w:top w:val="single" w:color="auto" w:sz="4" w:space="0"/>
              <w:left w:val="nil"/>
              <w:bottom w:val="single" w:color="auto" w:sz="4" w:space="0"/>
              <w:right w:val="single" w:color="auto" w:sz="4" w:space="0"/>
            </w:tcBorders>
            <w:noWrap/>
            <w:vAlign w:val="center"/>
          </w:tcPr>
          <w:p w14:paraId="11C1FB81">
            <w:pPr>
              <w:jc w:val="center"/>
              <w:rPr>
                <w:rFonts w:hint="eastAsia" w:ascii="仿宋" w:hAnsi="仿宋" w:eastAsia="仿宋"/>
                <w:b/>
                <w:bCs/>
                <w:sz w:val="28"/>
                <w:szCs w:val="28"/>
              </w:rPr>
            </w:pPr>
            <w:r>
              <w:rPr>
                <w:rFonts w:hint="eastAsia" w:ascii="仿宋" w:hAnsi="仿宋" w:eastAsia="仿宋"/>
                <w:b/>
                <w:bCs/>
                <w:sz w:val="28"/>
                <w:szCs w:val="28"/>
              </w:rPr>
              <w:t>业绩分</w:t>
            </w:r>
          </w:p>
        </w:tc>
      </w:tr>
      <w:tr w14:paraId="635C104B">
        <w:tblPrEx>
          <w:tblCellMar>
            <w:top w:w="0" w:type="dxa"/>
            <w:left w:w="108" w:type="dxa"/>
            <w:bottom w:w="0" w:type="dxa"/>
            <w:right w:w="108" w:type="dxa"/>
          </w:tblCellMar>
        </w:tblPrEx>
        <w:trPr>
          <w:trHeight w:val="280" w:hRule="atLeast"/>
          <w:jc w:val="center"/>
        </w:trPr>
        <w:tc>
          <w:tcPr>
            <w:tcW w:w="1040" w:type="dxa"/>
            <w:tcBorders>
              <w:top w:val="nil"/>
              <w:left w:val="single" w:color="auto" w:sz="4" w:space="0"/>
              <w:bottom w:val="single" w:color="auto" w:sz="4" w:space="0"/>
              <w:right w:val="single" w:color="auto" w:sz="4" w:space="0"/>
            </w:tcBorders>
            <w:noWrap/>
            <w:vAlign w:val="center"/>
          </w:tcPr>
          <w:p w14:paraId="2458CCF8">
            <w:pPr>
              <w:jc w:val="center"/>
              <w:rPr>
                <w:rFonts w:hint="eastAsia" w:ascii="仿宋" w:hAnsi="仿宋" w:eastAsia="仿宋"/>
                <w:sz w:val="28"/>
                <w:szCs w:val="28"/>
              </w:rPr>
            </w:pPr>
            <w:r>
              <w:rPr>
                <w:rFonts w:hint="eastAsia" w:ascii="仿宋" w:hAnsi="仿宋" w:eastAsia="仿宋"/>
                <w:sz w:val="28"/>
                <w:szCs w:val="28"/>
              </w:rPr>
              <w:t>1</w:t>
            </w:r>
          </w:p>
        </w:tc>
        <w:tc>
          <w:tcPr>
            <w:tcW w:w="2900" w:type="dxa"/>
            <w:tcBorders>
              <w:top w:val="nil"/>
              <w:left w:val="nil"/>
              <w:bottom w:val="single" w:color="auto" w:sz="4" w:space="0"/>
              <w:right w:val="single" w:color="auto" w:sz="4" w:space="0"/>
            </w:tcBorders>
            <w:noWrap/>
            <w:vAlign w:val="center"/>
          </w:tcPr>
          <w:p w14:paraId="7DBC034F">
            <w:pPr>
              <w:jc w:val="center"/>
              <w:rPr>
                <w:rFonts w:hint="eastAsia" w:ascii="仿宋" w:hAnsi="仿宋" w:eastAsia="仿宋"/>
                <w:sz w:val="28"/>
                <w:szCs w:val="28"/>
              </w:rPr>
            </w:pPr>
            <w:r>
              <w:rPr>
                <w:rFonts w:hint="eastAsia" w:ascii="仿宋" w:hAnsi="仿宋" w:eastAsia="仿宋"/>
                <w:sz w:val="28"/>
                <w:szCs w:val="28"/>
              </w:rPr>
              <w:t>国家级一等奖</w:t>
            </w:r>
          </w:p>
        </w:tc>
        <w:tc>
          <w:tcPr>
            <w:tcW w:w="1725" w:type="dxa"/>
            <w:tcBorders>
              <w:top w:val="nil"/>
              <w:left w:val="nil"/>
              <w:bottom w:val="single" w:color="auto" w:sz="4" w:space="0"/>
              <w:right w:val="single" w:color="auto" w:sz="4" w:space="0"/>
            </w:tcBorders>
            <w:noWrap/>
            <w:vAlign w:val="center"/>
          </w:tcPr>
          <w:p w14:paraId="30D7D6E6">
            <w:pPr>
              <w:jc w:val="center"/>
              <w:rPr>
                <w:rFonts w:hint="eastAsia" w:ascii="仿宋" w:hAnsi="仿宋" w:eastAsia="仿宋"/>
                <w:sz w:val="28"/>
                <w:szCs w:val="28"/>
              </w:rPr>
            </w:pPr>
            <w:r>
              <w:rPr>
                <w:rFonts w:hint="eastAsia" w:ascii="仿宋" w:hAnsi="仿宋" w:eastAsia="仿宋"/>
                <w:sz w:val="28"/>
                <w:szCs w:val="28"/>
              </w:rPr>
              <w:t>1</w:t>
            </w:r>
          </w:p>
        </w:tc>
      </w:tr>
      <w:tr w14:paraId="2F589B96">
        <w:tblPrEx>
          <w:tblCellMar>
            <w:top w:w="0" w:type="dxa"/>
            <w:left w:w="108" w:type="dxa"/>
            <w:bottom w:w="0" w:type="dxa"/>
            <w:right w:w="108" w:type="dxa"/>
          </w:tblCellMar>
        </w:tblPrEx>
        <w:trPr>
          <w:trHeight w:val="280" w:hRule="atLeast"/>
          <w:jc w:val="center"/>
        </w:trPr>
        <w:tc>
          <w:tcPr>
            <w:tcW w:w="1040" w:type="dxa"/>
            <w:tcBorders>
              <w:top w:val="nil"/>
              <w:left w:val="single" w:color="auto" w:sz="4" w:space="0"/>
              <w:bottom w:val="single" w:color="auto" w:sz="4" w:space="0"/>
              <w:right w:val="single" w:color="auto" w:sz="4" w:space="0"/>
            </w:tcBorders>
            <w:noWrap/>
            <w:vAlign w:val="center"/>
          </w:tcPr>
          <w:p w14:paraId="5DE9E5CF">
            <w:pPr>
              <w:jc w:val="center"/>
              <w:rPr>
                <w:rFonts w:hint="eastAsia" w:ascii="仿宋" w:hAnsi="仿宋" w:eastAsia="仿宋"/>
                <w:sz w:val="28"/>
                <w:szCs w:val="28"/>
              </w:rPr>
            </w:pPr>
            <w:r>
              <w:rPr>
                <w:rFonts w:hint="eastAsia" w:ascii="仿宋" w:hAnsi="仿宋" w:eastAsia="仿宋"/>
                <w:sz w:val="28"/>
                <w:szCs w:val="28"/>
              </w:rPr>
              <w:t>2</w:t>
            </w:r>
          </w:p>
        </w:tc>
        <w:tc>
          <w:tcPr>
            <w:tcW w:w="2900" w:type="dxa"/>
            <w:tcBorders>
              <w:top w:val="nil"/>
              <w:left w:val="nil"/>
              <w:bottom w:val="single" w:color="auto" w:sz="4" w:space="0"/>
              <w:right w:val="single" w:color="auto" w:sz="4" w:space="0"/>
            </w:tcBorders>
            <w:noWrap/>
            <w:vAlign w:val="center"/>
          </w:tcPr>
          <w:p w14:paraId="71222ADC">
            <w:pPr>
              <w:jc w:val="center"/>
              <w:rPr>
                <w:rFonts w:hint="eastAsia" w:ascii="仿宋" w:hAnsi="仿宋" w:eastAsia="仿宋"/>
                <w:sz w:val="28"/>
                <w:szCs w:val="28"/>
              </w:rPr>
            </w:pPr>
            <w:r>
              <w:rPr>
                <w:rFonts w:hint="eastAsia" w:ascii="仿宋" w:hAnsi="仿宋" w:eastAsia="仿宋"/>
                <w:sz w:val="28"/>
                <w:szCs w:val="28"/>
              </w:rPr>
              <w:t>国家级二等奖</w:t>
            </w:r>
          </w:p>
        </w:tc>
        <w:tc>
          <w:tcPr>
            <w:tcW w:w="1725" w:type="dxa"/>
            <w:tcBorders>
              <w:top w:val="nil"/>
              <w:left w:val="nil"/>
              <w:bottom w:val="single" w:color="auto" w:sz="4" w:space="0"/>
              <w:right w:val="single" w:color="auto" w:sz="4" w:space="0"/>
            </w:tcBorders>
            <w:noWrap/>
            <w:vAlign w:val="center"/>
          </w:tcPr>
          <w:p w14:paraId="46D33302">
            <w:pPr>
              <w:jc w:val="center"/>
              <w:rPr>
                <w:rFonts w:hint="eastAsia" w:ascii="仿宋" w:hAnsi="仿宋" w:eastAsia="仿宋"/>
                <w:sz w:val="28"/>
                <w:szCs w:val="28"/>
              </w:rPr>
            </w:pPr>
            <w:r>
              <w:rPr>
                <w:rFonts w:hint="eastAsia" w:ascii="仿宋" w:hAnsi="仿宋" w:eastAsia="仿宋"/>
                <w:sz w:val="28"/>
                <w:szCs w:val="28"/>
              </w:rPr>
              <w:t>0.8</w:t>
            </w:r>
          </w:p>
        </w:tc>
      </w:tr>
      <w:tr w14:paraId="51685076">
        <w:tblPrEx>
          <w:tblCellMar>
            <w:top w:w="0" w:type="dxa"/>
            <w:left w:w="108" w:type="dxa"/>
            <w:bottom w:w="0" w:type="dxa"/>
            <w:right w:w="108" w:type="dxa"/>
          </w:tblCellMar>
        </w:tblPrEx>
        <w:trPr>
          <w:trHeight w:val="567" w:hRule="atLeast"/>
          <w:jc w:val="center"/>
        </w:trPr>
        <w:tc>
          <w:tcPr>
            <w:tcW w:w="1040" w:type="dxa"/>
            <w:tcBorders>
              <w:top w:val="nil"/>
              <w:left w:val="single" w:color="auto" w:sz="4" w:space="0"/>
              <w:bottom w:val="single" w:color="auto" w:sz="4" w:space="0"/>
              <w:right w:val="single" w:color="auto" w:sz="4" w:space="0"/>
            </w:tcBorders>
            <w:noWrap/>
            <w:vAlign w:val="center"/>
          </w:tcPr>
          <w:p w14:paraId="75558462">
            <w:pPr>
              <w:jc w:val="center"/>
              <w:rPr>
                <w:rFonts w:hint="eastAsia" w:ascii="仿宋" w:hAnsi="仿宋" w:eastAsia="仿宋"/>
                <w:sz w:val="28"/>
                <w:szCs w:val="28"/>
              </w:rPr>
            </w:pPr>
            <w:r>
              <w:rPr>
                <w:rFonts w:hint="eastAsia" w:ascii="仿宋" w:hAnsi="仿宋" w:eastAsia="仿宋"/>
                <w:sz w:val="28"/>
                <w:szCs w:val="28"/>
              </w:rPr>
              <w:t>3</w:t>
            </w:r>
          </w:p>
        </w:tc>
        <w:tc>
          <w:tcPr>
            <w:tcW w:w="2900" w:type="dxa"/>
            <w:tcBorders>
              <w:top w:val="nil"/>
              <w:left w:val="nil"/>
              <w:bottom w:val="single" w:color="auto" w:sz="4" w:space="0"/>
              <w:right w:val="single" w:color="auto" w:sz="4" w:space="0"/>
            </w:tcBorders>
            <w:noWrap/>
            <w:vAlign w:val="center"/>
          </w:tcPr>
          <w:p w14:paraId="6CC49AF6">
            <w:pPr>
              <w:jc w:val="center"/>
              <w:rPr>
                <w:rFonts w:hint="eastAsia" w:ascii="仿宋" w:hAnsi="仿宋" w:eastAsia="仿宋"/>
                <w:sz w:val="28"/>
                <w:szCs w:val="28"/>
              </w:rPr>
            </w:pPr>
            <w:r>
              <w:rPr>
                <w:rFonts w:hint="eastAsia" w:ascii="仿宋" w:hAnsi="仿宋" w:eastAsia="仿宋"/>
                <w:sz w:val="28"/>
                <w:szCs w:val="28"/>
              </w:rPr>
              <w:t>国家级三等奖</w:t>
            </w:r>
          </w:p>
        </w:tc>
        <w:tc>
          <w:tcPr>
            <w:tcW w:w="1725" w:type="dxa"/>
            <w:tcBorders>
              <w:top w:val="nil"/>
              <w:left w:val="nil"/>
              <w:bottom w:val="single" w:color="auto" w:sz="4" w:space="0"/>
              <w:right w:val="single" w:color="auto" w:sz="4" w:space="0"/>
            </w:tcBorders>
            <w:noWrap/>
            <w:vAlign w:val="center"/>
          </w:tcPr>
          <w:p w14:paraId="4D79B6D8">
            <w:pPr>
              <w:jc w:val="center"/>
              <w:rPr>
                <w:rFonts w:hint="eastAsia" w:ascii="仿宋" w:hAnsi="仿宋" w:eastAsia="仿宋"/>
                <w:sz w:val="28"/>
                <w:szCs w:val="28"/>
              </w:rPr>
            </w:pPr>
            <w:r>
              <w:rPr>
                <w:rFonts w:hint="eastAsia" w:ascii="仿宋" w:hAnsi="仿宋" w:eastAsia="仿宋"/>
                <w:sz w:val="28"/>
                <w:szCs w:val="28"/>
              </w:rPr>
              <w:t>0.5</w:t>
            </w:r>
          </w:p>
        </w:tc>
      </w:tr>
    </w:tbl>
    <w:p w14:paraId="29E3B076">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Courier New">
    <w:panose1 w:val="02070309020205020404"/>
    <w:charset w:val="00"/>
    <w:family w:val="modern"/>
    <w:pitch w:val="default"/>
    <w:sig w:usb0="E0002E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6E46"/>
    <w:rsid w:val="0001581A"/>
    <w:rsid w:val="000A16B8"/>
    <w:rsid w:val="0010061B"/>
    <w:rsid w:val="00274D3A"/>
    <w:rsid w:val="002E21F2"/>
    <w:rsid w:val="002F347C"/>
    <w:rsid w:val="003717CF"/>
    <w:rsid w:val="003F504F"/>
    <w:rsid w:val="003F6C7B"/>
    <w:rsid w:val="00423FF2"/>
    <w:rsid w:val="00432F56"/>
    <w:rsid w:val="004714C4"/>
    <w:rsid w:val="00531268"/>
    <w:rsid w:val="005B160C"/>
    <w:rsid w:val="0061541B"/>
    <w:rsid w:val="00643653"/>
    <w:rsid w:val="006670EA"/>
    <w:rsid w:val="006B4DBD"/>
    <w:rsid w:val="00735AFD"/>
    <w:rsid w:val="00796E46"/>
    <w:rsid w:val="008121CB"/>
    <w:rsid w:val="0087069E"/>
    <w:rsid w:val="008B2FA5"/>
    <w:rsid w:val="009C662B"/>
    <w:rsid w:val="009D1D73"/>
    <w:rsid w:val="00BB37BA"/>
    <w:rsid w:val="00C21C6B"/>
    <w:rsid w:val="00CD4749"/>
    <w:rsid w:val="00CE7280"/>
    <w:rsid w:val="00D7463C"/>
    <w:rsid w:val="00F67B2D"/>
    <w:rsid w:val="01141165"/>
    <w:rsid w:val="2CC245F2"/>
    <w:rsid w:val="3D06319D"/>
    <w:rsid w:val="4469476E"/>
    <w:rsid w:val="5487127A"/>
    <w:rsid w:val="59E400A2"/>
    <w:rsid w:val="6D5B09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styleId="2">
    <w:name w:val="heading 1"/>
    <w:basedOn w:val="1"/>
    <w:next w:val="1"/>
    <w:link w:val="17"/>
    <w:qFormat/>
    <w:uiPriority w:val="9"/>
    <w:pPr>
      <w:keepNext/>
      <w:keepLines/>
      <w:spacing w:before="480" w:after="80"/>
      <w:outlineLvl w:val="0"/>
    </w:pPr>
    <w:rPr>
      <w:rFonts w:asciiTheme="majorHAnsi" w:hAnsiTheme="majorHAnsi" w:eastAsiaTheme="majorEastAsia" w:cstheme="majorBidi"/>
      <w:color w:val="2F5597" w:themeColor="accent1" w:themeShade="BF"/>
      <w:sz w:val="48"/>
      <w:szCs w:val="48"/>
    </w:rPr>
  </w:style>
  <w:style w:type="paragraph" w:styleId="3">
    <w:name w:val="heading 2"/>
    <w:basedOn w:val="1"/>
    <w:next w:val="1"/>
    <w:link w:val="18"/>
    <w:semiHidden/>
    <w:unhideWhenUsed/>
    <w:qFormat/>
    <w:uiPriority w:val="9"/>
    <w:pPr>
      <w:keepNext/>
      <w:keepLines/>
      <w:spacing w:before="160" w:after="80"/>
      <w:outlineLvl w:val="1"/>
    </w:pPr>
    <w:rPr>
      <w:rFonts w:asciiTheme="majorHAnsi" w:hAnsiTheme="majorHAnsi" w:eastAsiaTheme="majorEastAsia" w:cstheme="majorBidi"/>
      <w:color w:val="2F5597" w:themeColor="accent1" w:themeShade="BF"/>
      <w:sz w:val="40"/>
      <w:szCs w:val="40"/>
    </w:rPr>
  </w:style>
  <w:style w:type="paragraph" w:styleId="4">
    <w:name w:val="heading 3"/>
    <w:basedOn w:val="1"/>
    <w:next w:val="1"/>
    <w:link w:val="19"/>
    <w:semiHidden/>
    <w:unhideWhenUsed/>
    <w:qFormat/>
    <w:uiPriority w:val="9"/>
    <w:pPr>
      <w:keepNext/>
      <w:keepLines/>
      <w:spacing w:before="160" w:after="80"/>
      <w:outlineLvl w:val="2"/>
    </w:pPr>
    <w:rPr>
      <w:rFonts w:asciiTheme="majorHAnsi" w:hAnsiTheme="majorHAnsi" w:eastAsiaTheme="majorEastAsia" w:cstheme="majorBidi"/>
      <w:color w:val="2F5597" w:themeColor="accent1" w:themeShade="BF"/>
      <w:sz w:val="32"/>
      <w:szCs w:val="32"/>
    </w:rPr>
  </w:style>
  <w:style w:type="paragraph" w:styleId="5">
    <w:name w:val="heading 4"/>
    <w:basedOn w:val="1"/>
    <w:next w:val="1"/>
    <w:link w:val="20"/>
    <w:semiHidden/>
    <w:unhideWhenUsed/>
    <w:qFormat/>
    <w:uiPriority w:val="9"/>
    <w:pPr>
      <w:keepNext/>
      <w:keepLines/>
      <w:spacing w:before="80" w:after="40"/>
      <w:outlineLvl w:val="3"/>
    </w:pPr>
    <w:rPr>
      <w:rFonts w:cstheme="majorBidi"/>
      <w:color w:val="2F5597" w:themeColor="accent1" w:themeShade="BF"/>
      <w:sz w:val="28"/>
      <w:szCs w:val="28"/>
    </w:rPr>
  </w:style>
  <w:style w:type="paragraph" w:styleId="6">
    <w:name w:val="heading 5"/>
    <w:basedOn w:val="1"/>
    <w:next w:val="1"/>
    <w:link w:val="21"/>
    <w:semiHidden/>
    <w:unhideWhenUsed/>
    <w:qFormat/>
    <w:uiPriority w:val="9"/>
    <w:pPr>
      <w:keepNext/>
      <w:keepLines/>
      <w:spacing w:before="80" w:after="40"/>
      <w:outlineLvl w:val="4"/>
    </w:pPr>
    <w:rPr>
      <w:rFonts w:cstheme="majorBidi"/>
      <w:color w:val="2F5597" w:themeColor="accent1" w:themeShade="BF"/>
      <w:sz w:val="24"/>
      <w:szCs w:val="24"/>
    </w:rPr>
  </w:style>
  <w:style w:type="paragraph" w:styleId="7">
    <w:name w:val="heading 6"/>
    <w:basedOn w:val="1"/>
    <w:next w:val="1"/>
    <w:link w:val="22"/>
    <w:semiHidden/>
    <w:unhideWhenUsed/>
    <w:qFormat/>
    <w:uiPriority w:val="9"/>
    <w:pPr>
      <w:keepNext/>
      <w:keepLines/>
      <w:spacing w:before="40"/>
      <w:outlineLvl w:val="5"/>
    </w:pPr>
    <w:rPr>
      <w:rFonts w:cstheme="majorBidi"/>
      <w:b/>
      <w:bCs/>
      <w:color w:val="2F5597" w:themeColor="accent1" w:themeShade="BF"/>
    </w:rPr>
  </w:style>
  <w:style w:type="paragraph" w:styleId="8">
    <w:name w:val="heading 7"/>
    <w:basedOn w:val="1"/>
    <w:next w:val="1"/>
    <w:link w:val="23"/>
    <w:semiHidden/>
    <w:unhideWhenUsed/>
    <w:qFormat/>
    <w:uiPriority w:val="9"/>
    <w:pPr>
      <w:keepNext/>
      <w:keepLines/>
      <w:spacing w:before="4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4"/>
    <w:semiHidden/>
    <w:unhideWhenUsed/>
    <w:qFormat/>
    <w:uiPriority w:val="9"/>
    <w:pPr>
      <w:keepNext/>
      <w:keepLines/>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25"/>
    <w:semiHidden/>
    <w:unhideWhenUsed/>
    <w:qFormat/>
    <w:uiPriority w:val="9"/>
    <w:pPr>
      <w:keepNext/>
      <w:keepLines/>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11">
    <w:name w:val="footer"/>
    <w:basedOn w:val="1"/>
    <w:link w:val="36"/>
    <w:unhideWhenUsed/>
    <w:qFormat/>
    <w:uiPriority w:val="99"/>
    <w:pPr>
      <w:tabs>
        <w:tab w:val="center" w:pos="4153"/>
        <w:tab w:val="right" w:pos="8306"/>
      </w:tabs>
      <w:snapToGrid w:val="0"/>
      <w:jc w:val="left"/>
    </w:pPr>
    <w:rPr>
      <w:sz w:val="18"/>
      <w:szCs w:val="18"/>
    </w:rPr>
  </w:style>
  <w:style w:type="paragraph" w:styleId="12">
    <w:name w:val="header"/>
    <w:basedOn w:val="1"/>
    <w:link w:val="35"/>
    <w:unhideWhenUsed/>
    <w:qFormat/>
    <w:uiPriority w:val="99"/>
    <w:pPr>
      <w:tabs>
        <w:tab w:val="center" w:pos="4153"/>
        <w:tab w:val="right" w:pos="8306"/>
      </w:tabs>
      <w:snapToGrid w:val="0"/>
      <w:jc w:val="center"/>
    </w:pPr>
    <w:rPr>
      <w:sz w:val="18"/>
      <w:szCs w:val="18"/>
    </w:rPr>
  </w:style>
  <w:style w:type="paragraph" w:styleId="13">
    <w:name w:val="Subtitle"/>
    <w:basedOn w:val="1"/>
    <w:next w:val="1"/>
    <w:link w:val="27"/>
    <w:qFormat/>
    <w:uiPriority w:val="11"/>
    <w:pPr>
      <w:spacing w:after="16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4">
    <w:name w:val="Title"/>
    <w:basedOn w:val="1"/>
    <w:next w:val="1"/>
    <w:link w:val="26"/>
    <w:qFormat/>
    <w:uiPriority w:val="10"/>
    <w:pPr>
      <w:spacing w:after="80"/>
      <w:contextualSpacing/>
      <w:jc w:val="center"/>
    </w:pPr>
    <w:rPr>
      <w:rFonts w:asciiTheme="majorHAnsi" w:hAnsiTheme="majorHAnsi" w:eastAsiaTheme="majorEastAsia" w:cstheme="majorBidi"/>
      <w:spacing w:val="-10"/>
      <w:kern w:val="28"/>
      <w:sz w:val="56"/>
      <w:szCs w:val="56"/>
    </w:rPr>
  </w:style>
  <w:style w:type="character" w:customStyle="1" w:styleId="17">
    <w:name w:val="标题 1 字符"/>
    <w:basedOn w:val="16"/>
    <w:link w:val="2"/>
    <w:qFormat/>
    <w:uiPriority w:val="9"/>
    <w:rPr>
      <w:rFonts w:asciiTheme="majorHAnsi" w:hAnsiTheme="majorHAnsi" w:eastAsiaTheme="majorEastAsia" w:cstheme="majorBidi"/>
      <w:color w:val="2F5597" w:themeColor="accent1" w:themeShade="BF"/>
      <w:sz w:val="48"/>
      <w:szCs w:val="48"/>
    </w:rPr>
  </w:style>
  <w:style w:type="character" w:customStyle="1" w:styleId="18">
    <w:name w:val="标题 2 字符"/>
    <w:basedOn w:val="16"/>
    <w:link w:val="3"/>
    <w:semiHidden/>
    <w:qFormat/>
    <w:uiPriority w:val="9"/>
    <w:rPr>
      <w:rFonts w:asciiTheme="majorHAnsi" w:hAnsiTheme="majorHAnsi" w:eastAsiaTheme="majorEastAsia" w:cstheme="majorBidi"/>
      <w:color w:val="2F5597" w:themeColor="accent1" w:themeShade="BF"/>
      <w:sz w:val="40"/>
      <w:szCs w:val="40"/>
    </w:rPr>
  </w:style>
  <w:style w:type="character" w:customStyle="1" w:styleId="19">
    <w:name w:val="标题 3 字符"/>
    <w:basedOn w:val="16"/>
    <w:link w:val="4"/>
    <w:semiHidden/>
    <w:qFormat/>
    <w:uiPriority w:val="9"/>
    <w:rPr>
      <w:rFonts w:asciiTheme="majorHAnsi" w:hAnsiTheme="majorHAnsi" w:eastAsiaTheme="majorEastAsia" w:cstheme="majorBidi"/>
      <w:color w:val="2F5597" w:themeColor="accent1" w:themeShade="BF"/>
      <w:sz w:val="32"/>
      <w:szCs w:val="32"/>
    </w:rPr>
  </w:style>
  <w:style w:type="character" w:customStyle="1" w:styleId="20">
    <w:name w:val="标题 4 字符"/>
    <w:basedOn w:val="16"/>
    <w:link w:val="5"/>
    <w:semiHidden/>
    <w:qFormat/>
    <w:uiPriority w:val="9"/>
    <w:rPr>
      <w:rFonts w:cstheme="majorBidi"/>
      <w:color w:val="2F5597" w:themeColor="accent1" w:themeShade="BF"/>
      <w:sz w:val="28"/>
      <w:szCs w:val="28"/>
    </w:rPr>
  </w:style>
  <w:style w:type="character" w:customStyle="1" w:styleId="21">
    <w:name w:val="标题 5 字符"/>
    <w:basedOn w:val="16"/>
    <w:link w:val="6"/>
    <w:semiHidden/>
    <w:qFormat/>
    <w:uiPriority w:val="9"/>
    <w:rPr>
      <w:rFonts w:cstheme="majorBidi"/>
      <w:color w:val="2F5597" w:themeColor="accent1" w:themeShade="BF"/>
      <w:sz w:val="24"/>
      <w:szCs w:val="24"/>
    </w:rPr>
  </w:style>
  <w:style w:type="character" w:customStyle="1" w:styleId="22">
    <w:name w:val="标题 6 字符"/>
    <w:basedOn w:val="16"/>
    <w:link w:val="7"/>
    <w:semiHidden/>
    <w:qFormat/>
    <w:uiPriority w:val="9"/>
    <w:rPr>
      <w:rFonts w:cstheme="majorBidi"/>
      <w:b/>
      <w:bCs/>
      <w:color w:val="2F5597" w:themeColor="accent1" w:themeShade="BF"/>
    </w:rPr>
  </w:style>
  <w:style w:type="character" w:customStyle="1" w:styleId="23">
    <w:name w:val="标题 7 字符"/>
    <w:basedOn w:val="16"/>
    <w:link w:val="8"/>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4">
    <w:name w:val="标题 8 字符"/>
    <w:basedOn w:val="16"/>
    <w:link w:val="9"/>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5">
    <w:name w:val="标题 9 字符"/>
    <w:basedOn w:val="16"/>
    <w:link w:val="10"/>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6">
    <w:name w:val="标题 字符"/>
    <w:basedOn w:val="16"/>
    <w:link w:val="14"/>
    <w:qFormat/>
    <w:uiPriority w:val="10"/>
    <w:rPr>
      <w:rFonts w:asciiTheme="majorHAnsi" w:hAnsiTheme="majorHAnsi" w:eastAsiaTheme="majorEastAsia" w:cstheme="majorBidi"/>
      <w:spacing w:val="-10"/>
      <w:kern w:val="28"/>
      <w:sz w:val="56"/>
      <w:szCs w:val="56"/>
    </w:rPr>
  </w:style>
  <w:style w:type="character" w:customStyle="1" w:styleId="27">
    <w:name w:val="副标题 字符"/>
    <w:basedOn w:val="16"/>
    <w:link w:val="13"/>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8">
    <w:name w:val="Quote"/>
    <w:basedOn w:val="1"/>
    <w:next w:val="1"/>
    <w:link w:val="29"/>
    <w:qFormat/>
    <w:uiPriority w:val="2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29">
    <w:name w:val="引用 字符"/>
    <w:basedOn w:val="16"/>
    <w:link w:val="28"/>
    <w:qFormat/>
    <w:uiPriority w:val="29"/>
    <w:rPr>
      <w:i/>
      <w:iCs/>
      <w:color w:val="404040" w:themeColor="text1" w:themeTint="BF"/>
      <w14:textFill>
        <w14:solidFill>
          <w14:schemeClr w14:val="tx1">
            <w14:lumMod w14:val="75000"/>
            <w14:lumOff w14:val="25000"/>
          </w14:schemeClr>
        </w14:solidFill>
      </w14:textFill>
    </w:rPr>
  </w:style>
  <w:style w:type="paragraph" w:styleId="30">
    <w:name w:val="List Paragraph"/>
    <w:basedOn w:val="1"/>
    <w:qFormat/>
    <w:uiPriority w:val="34"/>
    <w:pPr>
      <w:ind w:left="720"/>
      <w:contextualSpacing/>
    </w:pPr>
  </w:style>
  <w:style w:type="character" w:customStyle="1" w:styleId="31">
    <w:name w:val="明显强调1"/>
    <w:basedOn w:val="16"/>
    <w:qFormat/>
    <w:uiPriority w:val="21"/>
    <w:rPr>
      <w:i/>
      <w:iCs/>
      <w:color w:val="2F5597" w:themeColor="accent1" w:themeShade="BF"/>
    </w:rPr>
  </w:style>
  <w:style w:type="paragraph" w:styleId="32">
    <w:name w:val="Intense Quote"/>
    <w:basedOn w:val="1"/>
    <w:next w:val="1"/>
    <w:link w:val="33"/>
    <w:qFormat/>
    <w:uiPriority w:val="30"/>
    <w:pPr>
      <w:pBdr>
        <w:top w:val="single" w:color="2F5496" w:themeColor="accent1" w:themeShade="BF" w:sz="4" w:space="10"/>
        <w:bottom w:val="single" w:color="2F5496" w:themeColor="accent1" w:themeShade="BF" w:sz="4" w:space="10"/>
      </w:pBdr>
      <w:spacing w:before="360" w:after="360"/>
      <w:ind w:left="864" w:right="864"/>
      <w:jc w:val="center"/>
    </w:pPr>
    <w:rPr>
      <w:i/>
      <w:iCs/>
      <w:color w:val="2F5597" w:themeColor="accent1" w:themeShade="BF"/>
    </w:rPr>
  </w:style>
  <w:style w:type="character" w:customStyle="1" w:styleId="33">
    <w:name w:val="明显引用 字符"/>
    <w:basedOn w:val="16"/>
    <w:link w:val="32"/>
    <w:qFormat/>
    <w:uiPriority w:val="30"/>
    <w:rPr>
      <w:i/>
      <w:iCs/>
      <w:color w:val="2F5597" w:themeColor="accent1" w:themeShade="BF"/>
    </w:rPr>
  </w:style>
  <w:style w:type="character" w:customStyle="1" w:styleId="34">
    <w:name w:val="明显参考1"/>
    <w:basedOn w:val="16"/>
    <w:qFormat/>
    <w:uiPriority w:val="32"/>
    <w:rPr>
      <w:b/>
      <w:bCs/>
      <w:smallCaps/>
      <w:color w:val="2F5597" w:themeColor="accent1" w:themeShade="BF"/>
      <w:spacing w:val="5"/>
    </w:rPr>
  </w:style>
  <w:style w:type="character" w:customStyle="1" w:styleId="35">
    <w:name w:val="页眉 字符"/>
    <w:basedOn w:val="16"/>
    <w:link w:val="12"/>
    <w:qFormat/>
    <w:uiPriority w:val="99"/>
    <w:rPr>
      <w:sz w:val="18"/>
      <w:szCs w:val="18"/>
    </w:rPr>
  </w:style>
  <w:style w:type="character" w:customStyle="1" w:styleId="36">
    <w:name w:val="页脚 字符"/>
    <w:basedOn w:val="16"/>
    <w:link w:val="11"/>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1707</Words>
  <Characters>1756</Characters>
  <Lines>67</Lines>
  <Paragraphs>88</Paragraphs>
  <TotalTime>102</TotalTime>
  <ScaleCrop>false</ScaleCrop>
  <LinksUpToDate>false</LinksUpToDate>
  <CharactersWithSpaces>1762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2025-08-22T07:43:00Z</dcterms:created>
  <dc:creator>Yao Liu</dc:creator>
  <cp:lastModifiedBy>刘耀</cp:lastModifiedBy>
  <dcterms:modified xsi:type="dcterms:W3CDTF">2025-08-22T14:11:46Z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eyJoZGlkIjoiNTQyODQzNDQyNDkxMDNkYmEyYmNjN2ZmOTZlOTUwMDIiLCJ1c2VySWQiOiIxNjk4MDAzNTgwIn0=</vt:lpwstr>
  </property>
  <property fmtid="{D5CDD505-2E9C-101B-9397-08002B2CF9AE}" pid="3" name="KSOProductBuildVer">
    <vt:lpwstr>2052-12.1.0.20305</vt:lpwstr>
  </property>
  <property fmtid="{D5CDD505-2E9C-101B-9397-08002B2CF9AE}" pid="4" name="ICV">
    <vt:lpwstr>E370C99270E1473BB93F6675554005C5_12</vt:lpwstr>
  </property>
</Properties>
</file>